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8F451" w14:textId="7A94C5CE" w:rsidR="002932DC" w:rsidRPr="002932DC" w:rsidRDefault="002932DC" w:rsidP="002932DC">
      <w:pPr>
        <w:widowControl w:val="0"/>
        <w:tabs>
          <w:tab w:val="left" w:pos="1701"/>
          <w:tab w:val="right" w:pos="9923"/>
        </w:tabs>
        <w:spacing w:before="120" w:after="0"/>
        <w:jc w:val="left"/>
        <w:rPr>
          <w:rFonts w:eastAsia="MS Mincho"/>
          <w:b/>
          <w:sz w:val="24"/>
          <w:szCs w:val="24"/>
          <w:lang w:val="en-GB" w:eastAsia="en-GB"/>
        </w:rPr>
      </w:pPr>
      <w:r w:rsidRPr="002932DC">
        <w:rPr>
          <w:rFonts w:eastAsia="MS Mincho"/>
          <w:b/>
          <w:sz w:val="24"/>
          <w:szCs w:val="24"/>
          <w:lang w:val="en-GB" w:eastAsia="en-GB"/>
        </w:rPr>
        <w:t>3GPP TSG-RAN WG2 Meeting #113 bis electronic</w:t>
      </w:r>
      <w:r w:rsidRPr="002932DC">
        <w:rPr>
          <w:rFonts w:eastAsia="MS Mincho"/>
          <w:b/>
          <w:sz w:val="24"/>
          <w:szCs w:val="24"/>
          <w:lang w:val="en-GB" w:eastAsia="en-GB"/>
        </w:rPr>
        <w:tab/>
      </w:r>
      <w:r w:rsidR="00BE27CF" w:rsidRPr="00BE27CF">
        <w:rPr>
          <w:rFonts w:eastAsia="MS Mincho"/>
          <w:b/>
          <w:sz w:val="24"/>
          <w:szCs w:val="24"/>
          <w:lang w:val="en-GB" w:eastAsia="en-GB"/>
        </w:rPr>
        <w:t>R2-2103955</w:t>
      </w:r>
    </w:p>
    <w:p w14:paraId="36DE4D72" w14:textId="36A0B57A" w:rsidR="006312AA" w:rsidRDefault="002932DC" w:rsidP="002932DC">
      <w:pPr>
        <w:widowControl w:val="0"/>
        <w:tabs>
          <w:tab w:val="left" w:pos="1701"/>
          <w:tab w:val="right" w:pos="9923"/>
        </w:tabs>
        <w:spacing w:before="120" w:after="0"/>
        <w:jc w:val="left"/>
        <w:rPr>
          <w:rFonts w:eastAsia="MS Mincho"/>
          <w:b/>
          <w:sz w:val="24"/>
          <w:szCs w:val="24"/>
          <w:lang w:val="en-GB" w:eastAsia="en-GB"/>
        </w:rPr>
      </w:pPr>
      <w:r w:rsidRPr="002932DC">
        <w:rPr>
          <w:rFonts w:eastAsia="MS Mincho"/>
          <w:b/>
          <w:sz w:val="24"/>
          <w:szCs w:val="24"/>
          <w:lang w:val="en-GB" w:eastAsia="en-GB"/>
        </w:rPr>
        <w:t>Online, April 12 – April 20, 2021</w:t>
      </w:r>
    </w:p>
    <w:p w14:paraId="4E5ED898" w14:textId="77777777" w:rsidR="002932DC" w:rsidRPr="006312AA" w:rsidRDefault="002932DC" w:rsidP="002932DC">
      <w:pPr>
        <w:widowControl w:val="0"/>
        <w:tabs>
          <w:tab w:val="left" w:pos="1701"/>
          <w:tab w:val="right" w:pos="9923"/>
        </w:tabs>
        <w:spacing w:before="120" w:after="0"/>
        <w:jc w:val="left"/>
        <w:rPr>
          <w:rFonts w:eastAsia="MS Mincho"/>
          <w:b/>
          <w:sz w:val="24"/>
          <w:szCs w:val="24"/>
          <w:lang w:val="en-GB" w:eastAsia="en-GB"/>
        </w:rPr>
      </w:pPr>
    </w:p>
    <w:p w14:paraId="5852342B" w14:textId="547D5DB9"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17F07">
        <w:rPr>
          <w:b/>
          <w:sz w:val="24"/>
          <w:szCs w:val="24"/>
        </w:rPr>
        <w:t>8</w:t>
      </w:r>
      <w:r w:rsidR="00E06B55">
        <w:rPr>
          <w:b/>
          <w:sz w:val="24"/>
          <w:szCs w:val="24"/>
        </w:rPr>
        <w:t>.</w:t>
      </w:r>
      <w:r w:rsidR="006A04B2">
        <w:rPr>
          <w:b/>
          <w:sz w:val="24"/>
          <w:szCs w:val="24"/>
        </w:rPr>
        <w:t>4</w:t>
      </w:r>
      <w:r w:rsidR="003822CC">
        <w:rPr>
          <w:b/>
          <w:sz w:val="24"/>
          <w:szCs w:val="24"/>
        </w:rPr>
        <w:t>.</w:t>
      </w:r>
      <w:r w:rsidR="00B63DB8">
        <w:rPr>
          <w:b/>
          <w:sz w:val="24"/>
          <w:szCs w:val="24"/>
        </w:rPr>
        <w:t>2</w:t>
      </w:r>
      <w:bookmarkStart w:id="1" w:name="_GoBack"/>
      <w:bookmarkEnd w:id="1"/>
    </w:p>
    <w:p w14:paraId="64A845F0"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68FECBE" w14:textId="6891A148"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417F07" w:rsidRPr="00417F07">
        <w:rPr>
          <w:b/>
          <w:sz w:val="24"/>
          <w:szCs w:val="24"/>
        </w:rPr>
        <w:t>Multi-hop scheduling and local routing enhancements for IAB</w:t>
      </w:r>
    </w:p>
    <w:p w14:paraId="7A7A05B8" w14:textId="77777777"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363A55BC"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14:paraId="76F7EABB" w14:textId="5C1FDAA8"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As part of the </w:t>
      </w:r>
      <w:r w:rsidR="004131D6" w:rsidRPr="004131D6">
        <w:rPr>
          <w:rFonts w:ascii="Calibri" w:eastAsia="Malgun Gothic" w:hAnsi="Calibri" w:cs="Batang"/>
          <w:lang w:val="en-GB" w:eastAsia="ko-KR"/>
        </w:rPr>
        <w:t>Work</w:t>
      </w:r>
      <w:r w:rsidRPr="004131D6">
        <w:rPr>
          <w:rFonts w:ascii="Calibri" w:eastAsia="Malgun Gothic" w:hAnsi="Calibri" w:cs="Batang"/>
          <w:lang w:val="en-GB" w:eastAsia="ko-KR"/>
        </w:rPr>
        <w:t xml:space="preserve"> Item on </w:t>
      </w:r>
      <w:r w:rsidR="00654588">
        <w:rPr>
          <w:rFonts w:ascii="Calibri" w:eastAsia="Malgun Gothic" w:hAnsi="Calibri" w:cs="Batang"/>
          <w:lang w:val="en-GB" w:eastAsia="ko-KR"/>
        </w:rPr>
        <w:t xml:space="preserve">Enhancements for </w:t>
      </w:r>
      <w:r w:rsidRPr="004131D6">
        <w:rPr>
          <w:rFonts w:ascii="Calibri" w:eastAsia="Malgun Gothic" w:hAnsi="Calibri" w:cs="Batang"/>
          <w:lang w:val="en-GB" w:eastAsia="ko-KR"/>
        </w:rPr>
        <w:t xml:space="preserve">Integrated Access and Backhaul for NR [1], 3GPP has agreed </w:t>
      </w:r>
      <w:r w:rsidR="004131D6" w:rsidRPr="004131D6">
        <w:rPr>
          <w:rFonts w:ascii="Calibri" w:eastAsia="Malgun Gothic" w:hAnsi="Calibri" w:cs="Batang"/>
          <w:lang w:val="en-GB" w:eastAsia="ko-KR"/>
        </w:rPr>
        <w:t xml:space="preserve">to support </w:t>
      </w:r>
      <w:r w:rsidR="002F05F3">
        <w:rPr>
          <w:rFonts w:ascii="Calibri" w:eastAsia="Malgun Gothic" w:hAnsi="Calibri" w:cs="Batang"/>
          <w:lang w:val="en-GB" w:eastAsia="ko-KR"/>
        </w:rPr>
        <w:t>the following enhancements:</w:t>
      </w:r>
    </w:p>
    <w:p w14:paraId="391D5B3B" w14:textId="77777777" w:rsidR="002F05F3" w:rsidRPr="00D54EF9" w:rsidRDefault="002F05F3" w:rsidP="002F05F3">
      <w:pPr>
        <w:rPr>
          <w:bCs/>
          <w:sz w:val="18"/>
          <w:szCs w:val="18"/>
        </w:rPr>
      </w:pPr>
      <w:r w:rsidRPr="00D54EF9">
        <w:rPr>
          <w:bCs/>
          <w:sz w:val="18"/>
          <w:szCs w:val="18"/>
        </w:rPr>
        <w:t>Topology, routing and transport enhancements [RAN2-led, RAN3]:</w:t>
      </w:r>
    </w:p>
    <w:p w14:paraId="3641ACCB" w14:textId="77777777" w:rsidR="002F05F3" w:rsidRPr="00D54EF9" w:rsidRDefault="002F05F3" w:rsidP="002F05F3">
      <w:pPr>
        <w:numPr>
          <w:ilvl w:val="0"/>
          <w:numId w:val="21"/>
        </w:numPr>
        <w:spacing w:before="0" w:after="60"/>
        <w:jc w:val="left"/>
        <w:rPr>
          <w:sz w:val="18"/>
          <w:szCs w:val="18"/>
        </w:rPr>
      </w:pPr>
      <w:r w:rsidRPr="00D54EF9">
        <w:rPr>
          <w:sz w:val="18"/>
          <w:szCs w:val="18"/>
        </w:rPr>
        <w:t xml:space="preserve">Specifications of enhancements to improve topology-wide fairness, multi-hop latency and congestion mitigation </w:t>
      </w:r>
    </w:p>
    <w:p w14:paraId="0AB8400B" w14:textId="77777777" w:rsidR="00C408C7" w:rsidRDefault="00C408C7" w:rsidP="004A7002">
      <w:pPr>
        <w:rPr>
          <w:rFonts w:ascii="Calibri" w:eastAsia="Malgun Gothic" w:hAnsi="Calibri" w:cs="Batang"/>
          <w:lang w:val="en-GB" w:eastAsia="ko-KR"/>
        </w:rPr>
      </w:pPr>
    </w:p>
    <w:p w14:paraId="597DA981" w14:textId="7EF5D7D8"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In order to support efficient</w:t>
      </w:r>
      <w:r w:rsidR="005F705D">
        <w:rPr>
          <w:rFonts w:ascii="Calibri" w:eastAsia="Malgun Gothic" w:hAnsi="Calibri" w:cs="Batang"/>
          <w:lang w:val="en-GB" w:eastAsia="ko-KR"/>
        </w:rPr>
        <w:t xml:space="preserve"> </w:t>
      </w:r>
      <w:r w:rsidRPr="004131D6">
        <w:rPr>
          <w:rFonts w:ascii="Calibri" w:eastAsia="Malgun Gothic" w:hAnsi="Calibri" w:cs="Batang"/>
          <w:lang w:val="en-GB" w:eastAsia="ko-KR"/>
        </w:rPr>
        <w:t xml:space="preserve">and optimized operation, </w:t>
      </w:r>
      <w:r w:rsidR="006A04B2">
        <w:rPr>
          <w:rFonts w:ascii="Calibri" w:eastAsia="Malgun Gothic" w:hAnsi="Calibri" w:cs="Batang"/>
          <w:lang w:val="en-GB" w:eastAsia="ko-KR"/>
        </w:rPr>
        <w:t>inter-IAB node metric exchange for IAB</w:t>
      </w:r>
      <w:r w:rsidR="004131D6" w:rsidRPr="004131D6">
        <w:rPr>
          <w:rFonts w:ascii="Calibri" w:eastAsia="Malgun Gothic" w:hAnsi="Calibri" w:cs="Batang"/>
          <w:lang w:val="en-GB" w:eastAsia="ko-KR"/>
        </w:rPr>
        <w:t xml:space="preserve"> scheduling</w:t>
      </w:r>
      <w:r w:rsidRPr="004131D6">
        <w:rPr>
          <w:rFonts w:ascii="Calibri" w:eastAsia="Malgun Gothic" w:hAnsi="Calibri" w:cs="Batang"/>
          <w:lang w:val="en-GB" w:eastAsia="ko-KR"/>
        </w:rPr>
        <w:t xml:space="preserve"> </w:t>
      </w:r>
      <w:r w:rsidR="004131D6" w:rsidRPr="004131D6">
        <w:rPr>
          <w:rFonts w:ascii="Calibri" w:eastAsia="Malgun Gothic" w:hAnsi="Calibri" w:cs="Batang"/>
          <w:lang w:val="en-GB" w:eastAsia="ko-KR"/>
        </w:rPr>
        <w:t>should be supported</w:t>
      </w:r>
      <w:r w:rsidR="00DA5EAC">
        <w:rPr>
          <w:rFonts w:ascii="Calibri" w:eastAsia="Malgun Gothic" w:hAnsi="Calibri" w:cs="Batang"/>
          <w:lang w:val="en-GB" w:eastAsia="ko-KR"/>
        </w:rPr>
        <w:t xml:space="preserve"> as well as</w:t>
      </w:r>
      <w:r w:rsidR="002F05F3">
        <w:rPr>
          <w:rFonts w:ascii="Calibri" w:eastAsia="Malgun Gothic" w:hAnsi="Calibri" w:cs="Batang"/>
          <w:lang w:val="en-GB" w:eastAsia="ko-KR"/>
        </w:rPr>
        <w:t xml:space="preserve"> local routing decisions beyond what is allowed in Rel-16</w:t>
      </w:r>
      <w:r w:rsidRPr="004131D6">
        <w:rPr>
          <w:rFonts w:ascii="Calibri" w:eastAsia="Malgun Gothic" w:hAnsi="Calibri" w:cs="Batang"/>
          <w:lang w:val="en-GB" w:eastAsia="ko-KR"/>
        </w:rPr>
        <w:t xml:space="preserve">. This contribution analyses the requirements for </w:t>
      </w:r>
      <w:r w:rsidR="004131D6" w:rsidRPr="004131D6">
        <w:rPr>
          <w:rFonts w:ascii="Calibri" w:eastAsia="Malgun Gothic" w:hAnsi="Calibri" w:cs="Batang"/>
          <w:lang w:val="en-GB" w:eastAsia="ko-KR"/>
        </w:rPr>
        <w:t>introduction of a scheduling benefit metric</w:t>
      </w:r>
      <w:r w:rsidR="002F05F3">
        <w:rPr>
          <w:rFonts w:ascii="Calibri" w:eastAsia="Malgun Gothic" w:hAnsi="Calibri" w:cs="Batang"/>
          <w:lang w:val="en-GB" w:eastAsia="ko-KR"/>
        </w:rPr>
        <w:t xml:space="preserve"> and local routing enhancements for IAB</w:t>
      </w:r>
      <w:r w:rsidRPr="004131D6">
        <w:rPr>
          <w:rFonts w:ascii="Calibri" w:eastAsia="Malgun Gothic" w:hAnsi="Calibri" w:cs="Batang"/>
          <w:lang w:val="en-GB" w:eastAsia="ko-KR"/>
        </w:rPr>
        <w:t>.</w:t>
      </w:r>
    </w:p>
    <w:p w14:paraId="44DCACF4" w14:textId="77777777" w:rsidR="004A7002" w:rsidRDefault="005F705D"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Scheduling Metric for QoS Enforcement</w:t>
      </w:r>
    </w:p>
    <w:p w14:paraId="60E3E67A" w14:textId="77777777"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Consider a multi-hop IAB relay architecture, where a UE accesses a serving IAB node, which then connects via IAB links to other IAB nodes to reach the IAB donor. This architecture is demonstrated in Figure </w:t>
      </w:r>
      <w:r w:rsidR="00C408C7">
        <w:rPr>
          <w:rFonts w:ascii="Calibri" w:eastAsia="Malgun Gothic" w:hAnsi="Calibri" w:cs="Batang"/>
          <w:lang w:val="en-GB" w:eastAsia="ko-KR"/>
        </w:rPr>
        <w:t>1</w:t>
      </w:r>
      <w:r w:rsidRPr="004131D6">
        <w:rPr>
          <w:rFonts w:ascii="Calibri" w:eastAsia="Malgun Gothic" w:hAnsi="Calibri" w:cs="Batang"/>
          <w:lang w:val="en-GB" w:eastAsia="ko-KR"/>
        </w:rPr>
        <w:t xml:space="preserve"> [2].</w:t>
      </w:r>
    </w:p>
    <w:p w14:paraId="220DCE5C" w14:textId="136C59FC"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Data generated at a</w:t>
      </w:r>
      <w:r w:rsidR="004131D6">
        <w:rPr>
          <w:rFonts w:ascii="Calibri" w:eastAsia="Malgun Gothic" w:hAnsi="Calibri" w:cs="Batang"/>
          <w:lang w:val="en-GB" w:eastAsia="ko-KR"/>
        </w:rPr>
        <w:t xml:space="preserve"> UE in Figure </w:t>
      </w:r>
      <w:r w:rsidR="005F705D">
        <w:rPr>
          <w:rFonts w:ascii="Calibri" w:eastAsia="Malgun Gothic" w:hAnsi="Calibri" w:cs="Batang"/>
          <w:lang w:val="en-GB" w:eastAsia="ko-KR"/>
        </w:rPr>
        <w:t>1</w:t>
      </w:r>
      <w:r w:rsidRPr="004131D6">
        <w:rPr>
          <w:rFonts w:ascii="Calibri" w:eastAsia="Malgun Gothic" w:hAnsi="Calibri" w:cs="Batang"/>
          <w:lang w:val="en-GB" w:eastAsia="ko-KR"/>
        </w:rPr>
        <w:t xml:space="preserve"> must propagate through the network in a timely manner, subject to QoS of radio bearer established by the CU. </w:t>
      </w:r>
      <w:r w:rsidR="002F05F3">
        <w:rPr>
          <w:rFonts w:ascii="Calibri" w:eastAsia="Malgun Gothic" w:hAnsi="Calibri" w:cs="Batang"/>
          <w:lang w:val="en-GB" w:eastAsia="ko-KR"/>
        </w:rPr>
        <w:t>T</w:t>
      </w:r>
      <w:r w:rsidRPr="004131D6">
        <w:rPr>
          <w:rFonts w:ascii="Calibri" w:eastAsia="Malgun Gothic" w:hAnsi="Calibri" w:cs="Batang"/>
          <w:lang w:val="en-GB" w:eastAsia="ko-KR"/>
        </w:rPr>
        <w:t>he adap</w:t>
      </w:r>
      <w:r w:rsidR="00D93FEB">
        <w:rPr>
          <w:rFonts w:ascii="Calibri" w:eastAsia="Malgun Gothic" w:hAnsi="Calibri" w:cs="Batang"/>
          <w:lang w:val="en-GB" w:eastAsia="ko-KR"/>
        </w:rPr>
        <w:t>ta</w:t>
      </w:r>
      <w:r w:rsidRPr="004131D6">
        <w:rPr>
          <w:rFonts w:ascii="Calibri" w:eastAsia="Malgun Gothic" w:hAnsi="Calibri" w:cs="Batang"/>
          <w:lang w:val="en-GB" w:eastAsia="ko-KR"/>
        </w:rPr>
        <w:t>tion layer provide</w:t>
      </w:r>
      <w:r w:rsidR="002F05F3">
        <w:rPr>
          <w:rFonts w:ascii="Calibri" w:eastAsia="Malgun Gothic" w:hAnsi="Calibri" w:cs="Batang"/>
          <w:lang w:val="en-GB" w:eastAsia="ko-KR"/>
        </w:rPr>
        <w:t>s</w:t>
      </w:r>
      <w:r w:rsidRPr="004131D6">
        <w:rPr>
          <w:rFonts w:ascii="Calibri" w:eastAsia="Malgun Gothic" w:hAnsi="Calibri" w:cs="Batang"/>
          <w:lang w:val="en-GB" w:eastAsia="ko-KR"/>
        </w:rPr>
        <w:t xml:space="preserve"> QoS-enforcement by the scheduler on DL and UL on the wireless backhaul link [2]. In a multi-hop IAB-network, there is a scheduler in the DU for each IAB-node. </w:t>
      </w:r>
    </w:p>
    <w:p w14:paraId="06B25274" w14:textId="77777777" w:rsidR="004A7002" w:rsidRDefault="00BD2886" w:rsidP="004A7002">
      <w:r w:rsidRPr="004131D6">
        <w:rPr>
          <w:rFonts w:ascii="Calibri" w:hAnsi="Calibri"/>
          <w:b/>
        </w:rPr>
        <w:t>Observation 1: Successful propagation of UE UP data relies on multiple scheduler decisions.</w:t>
      </w:r>
    </w:p>
    <w:p w14:paraId="0211D402" w14:textId="77777777" w:rsidR="004A7002" w:rsidRDefault="006C20F7" w:rsidP="004A7002">
      <w:pPr>
        <w:keepNext/>
        <w:jc w:val="center"/>
      </w:pPr>
      <w:r>
        <w:rPr>
          <w:noProof/>
        </w:rPr>
        <w:object w:dxaOrig="8256" w:dyaOrig="8615" w14:anchorId="78456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0.85pt;height:314.4pt;mso-width-percent:0;mso-height-percent:0;mso-width-percent:0;mso-height-percent:0" o:ole="">
            <v:imagedata r:id="rId8" o:title=""/>
          </v:shape>
          <o:OLEObject Type="Embed" ProgID="Visio.Drawing.11" ShapeID="_x0000_i1025" DrawAspect="Content" ObjectID="_1678800374" r:id="rId9"/>
        </w:object>
      </w:r>
    </w:p>
    <w:p w14:paraId="00FEF61F" w14:textId="77777777" w:rsidR="004A7002" w:rsidRPr="004131D6" w:rsidRDefault="004A7002" w:rsidP="004131D6">
      <w:pPr>
        <w:pStyle w:val="Caption"/>
        <w:ind w:left="720"/>
        <w:rPr>
          <w:rFonts w:ascii="Calibri" w:hAnsi="Calibri"/>
          <w:sz w:val="20"/>
        </w:rPr>
      </w:pPr>
      <w:r w:rsidRPr="004131D6">
        <w:rPr>
          <w:rFonts w:ascii="Calibri" w:hAnsi="Calibri"/>
          <w:sz w:val="20"/>
        </w:rPr>
        <w:t xml:space="preserve">Figure </w:t>
      </w:r>
      <w:r w:rsidR="005F705D">
        <w:rPr>
          <w:rFonts w:ascii="Calibri" w:hAnsi="Calibri"/>
          <w:sz w:val="20"/>
        </w:rPr>
        <w:t>1</w:t>
      </w:r>
      <w:r w:rsidRPr="004131D6">
        <w:rPr>
          <w:rFonts w:ascii="Calibri" w:hAnsi="Calibri"/>
          <w:sz w:val="20"/>
        </w:rPr>
        <w:t>: Example SA IAB architecture</w:t>
      </w:r>
    </w:p>
    <w:p w14:paraId="5034A8E1" w14:textId="77777777" w:rsidR="004A7002" w:rsidRPr="004131D6" w:rsidRDefault="004A7002" w:rsidP="004131D6">
      <w:pPr>
        <w:pStyle w:val="maintext"/>
        <w:ind w:firstLineChars="0" w:firstLine="0"/>
        <w:rPr>
          <w:rFonts w:ascii="Calibri" w:hAnsi="Calibri"/>
        </w:rPr>
      </w:pPr>
      <w:r w:rsidRPr="004131D6">
        <w:rPr>
          <w:rFonts w:ascii="Calibri" w:hAnsi="Calibri"/>
        </w:rPr>
        <w:t>All UE UP data arriving at the MT of an IAB-node must leave the IAB-node from the DU. To balance the transmission of data and optimize the scheduling, the parent IAB-node should have information beyond buffer status to prioritize bearers, subject to other QoS constraints. This concept has been used in 3GPP prior for CoM</w:t>
      </w:r>
      <w:r w:rsidR="001B7305">
        <w:rPr>
          <w:rFonts w:ascii="Calibri" w:hAnsi="Calibri"/>
        </w:rPr>
        <w:t>P in the X2-AP specification</w:t>
      </w:r>
      <w:r w:rsidRPr="004131D6">
        <w:rPr>
          <w:rFonts w:ascii="Calibri" w:hAnsi="Calibri"/>
        </w:rPr>
        <w:t>. A signed integer is exchanged to indicate the cost or benefit of CoMP hypotheses. Such a concept can be used to inform parent IAB-nodes of bearer status downstream.</w:t>
      </w:r>
    </w:p>
    <w:p w14:paraId="0F3F9142" w14:textId="77777777" w:rsidR="004A7002" w:rsidRDefault="004A7002" w:rsidP="004131D6">
      <w:pPr>
        <w:pStyle w:val="maintext"/>
        <w:ind w:firstLineChars="0" w:firstLine="0"/>
        <w:rPr>
          <w:rFonts w:ascii="Calibri" w:hAnsi="Calibri"/>
        </w:rPr>
      </w:pPr>
      <w:r w:rsidRPr="004131D6">
        <w:rPr>
          <w:rFonts w:ascii="Calibri" w:hAnsi="Calibri"/>
        </w:rPr>
        <w:t>Additionally, the scheduling of data for the DL IAB transmission (backhaul link to child node or access link) resides at the IAB-donor or IAB-node, while scheduling of data for the UL IAB transmission (backhaul link to parent node) is scheduled by the parent IAB-node. If a certain UE or downstream IAB-node is aggressively scheduled in the UL by the IAB-node, the parent-IAB node can be notified to provide load balancing.</w:t>
      </w:r>
    </w:p>
    <w:p w14:paraId="14B44953" w14:textId="77777777" w:rsidR="00707438" w:rsidRDefault="00933AFB" w:rsidP="004131D6">
      <w:pPr>
        <w:pStyle w:val="maintext"/>
        <w:ind w:firstLineChars="0" w:firstLine="0"/>
        <w:rPr>
          <w:rFonts w:ascii="Calibri" w:hAnsi="Calibri"/>
        </w:rPr>
      </w:pPr>
      <w:r>
        <w:rPr>
          <w:rFonts w:ascii="Calibri" w:hAnsi="Calibri"/>
        </w:rPr>
        <w:t>Furthermore, there could be situations in which the scheduler at the parent-IAB node may not have all the information needed to make appropriate scheduling decisions for different bearers</w:t>
      </w:r>
      <w:r w:rsidR="004E16A5">
        <w:rPr>
          <w:rFonts w:ascii="Calibri" w:hAnsi="Calibri"/>
        </w:rPr>
        <w:t>/RLC channels</w:t>
      </w:r>
      <w:r>
        <w:rPr>
          <w:rFonts w:ascii="Calibri" w:hAnsi="Calibri"/>
        </w:rPr>
        <w:t xml:space="preserve"> across multiple child-IAB nodes. For example, if the backhaul link to one child-IAB node supports three UE bearers with 1:1 mapping </w:t>
      </w:r>
      <w:r w:rsidR="00665936">
        <w:rPr>
          <w:rFonts w:ascii="Calibri" w:hAnsi="Calibri"/>
        </w:rPr>
        <w:t>to RLC channels</w:t>
      </w:r>
      <w:r>
        <w:rPr>
          <w:rFonts w:ascii="Calibri" w:hAnsi="Calibri"/>
        </w:rPr>
        <w:t xml:space="preserve">, and a second child-IAB node supports three UE bearers with 3:1 mapping to a single RLC channel, the </w:t>
      </w:r>
      <w:r w:rsidR="00665936">
        <w:rPr>
          <w:rFonts w:ascii="Calibri" w:hAnsi="Calibri"/>
        </w:rPr>
        <w:t xml:space="preserve">scheduler at the </w:t>
      </w:r>
      <w:r>
        <w:rPr>
          <w:rFonts w:ascii="Calibri" w:hAnsi="Calibri"/>
        </w:rPr>
        <w:t xml:space="preserve">parent-IAB node </w:t>
      </w:r>
      <w:r w:rsidR="00665936">
        <w:rPr>
          <w:rFonts w:ascii="Calibri" w:hAnsi="Calibri"/>
        </w:rPr>
        <w:t xml:space="preserve">may see four RLC channels, and a normal proportional-fair metric for each RLC channel may not translate into more scheduling opportunities for the RLC channel that multiplexes three UE bearers. For such and other examples, it may be useful to provide some </w:t>
      </w:r>
      <w:r w:rsidR="00F76A86">
        <w:rPr>
          <w:rFonts w:ascii="Calibri" w:hAnsi="Calibri"/>
        </w:rPr>
        <w:t>benefit metric from child-IAB nodes to parent-IAB nodes to allow the parent-IAB node to provide appropriate weigh</w:t>
      </w:r>
      <w:r w:rsidR="00665936">
        <w:rPr>
          <w:rFonts w:ascii="Calibri" w:hAnsi="Calibri"/>
        </w:rPr>
        <w:t>ting of bearers</w:t>
      </w:r>
      <w:r w:rsidR="00F76A86">
        <w:rPr>
          <w:rFonts w:ascii="Calibri" w:hAnsi="Calibri"/>
        </w:rPr>
        <w:t xml:space="preserve"> as well</w:t>
      </w:r>
      <w:r w:rsidR="00665936">
        <w:rPr>
          <w:rFonts w:ascii="Calibri" w:hAnsi="Calibri"/>
        </w:rPr>
        <w:t xml:space="preserve">. </w:t>
      </w:r>
      <w:r w:rsidR="00BB02D4">
        <w:rPr>
          <w:rFonts w:ascii="Calibri" w:hAnsi="Calibri"/>
        </w:rPr>
        <w:t>In addition</w:t>
      </w:r>
      <w:r w:rsidR="00494D73">
        <w:rPr>
          <w:rFonts w:ascii="Calibri" w:hAnsi="Calibri"/>
        </w:rPr>
        <w:t>,</w:t>
      </w:r>
      <w:r w:rsidR="00BB02D4">
        <w:rPr>
          <w:rFonts w:ascii="Calibri" w:hAnsi="Calibri"/>
        </w:rPr>
        <w:t xml:space="preserve"> such a benefit metric could incorporate link quality across multiple hops for a given route, based on </w:t>
      </w:r>
      <w:r w:rsidR="00591190">
        <w:rPr>
          <w:rFonts w:ascii="Calibri" w:hAnsi="Calibri"/>
        </w:rPr>
        <w:t xml:space="preserve">L1 (e.g. </w:t>
      </w:r>
      <w:r w:rsidR="00BB02D4">
        <w:rPr>
          <w:rFonts w:ascii="Calibri" w:hAnsi="Calibri"/>
        </w:rPr>
        <w:t>CSI</w:t>
      </w:r>
      <w:r w:rsidR="00591190">
        <w:rPr>
          <w:rFonts w:ascii="Calibri" w:hAnsi="Calibri"/>
        </w:rPr>
        <w:t>)</w:t>
      </w:r>
      <w:r w:rsidR="00BB02D4">
        <w:rPr>
          <w:rFonts w:ascii="Calibri" w:hAnsi="Calibri"/>
        </w:rPr>
        <w:t xml:space="preserve"> or </w:t>
      </w:r>
      <w:r w:rsidR="00591190">
        <w:rPr>
          <w:rFonts w:ascii="Calibri" w:hAnsi="Calibri"/>
        </w:rPr>
        <w:t xml:space="preserve">L3 (e.g. </w:t>
      </w:r>
      <w:r w:rsidR="00BB02D4">
        <w:rPr>
          <w:rFonts w:ascii="Calibri" w:hAnsi="Calibri"/>
        </w:rPr>
        <w:t>RRM</w:t>
      </w:r>
      <w:r w:rsidR="00591190">
        <w:rPr>
          <w:rFonts w:ascii="Calibri" w:hAnsi="Calibri"/>
        </w:rPr>
        <w:t>)</w:t>
      </w:r>
      <w:r w:rsidR="00BB02D4">
        <w:rPr>
          <w:rFonts w:ascii="Calibri" w:hAnsi="Calibri"/>
        </w:rPr>
        <w:t xml:space="preserve"> measurements for example.</w:t>
      </w:r>
    </w:p>
    <w:p w14:paraId="636DBF68" w14:textId="77777777" w:rsidR="005F705D" w:rsidRDefault="005F705D" w:rsidP="004131D6">
      <w:pPr>
        <w:pStyle w:val="maintext"/>
        <w:ind w:firstLineChars="0" w:firstLine="0"/>
        <w:rPr>
          <w:rFonts w:ascii="Calibri" w:hAnsi="Calibri"/>
        </w:rPr>
      </w:pPr>
    </w:p>
    <w:p w14:paraId="0454D2D9" w14:textId="77777777" w:rsidR="005F705D" w:rsidRDefault="00396F9F" w:rsidP="005F705D">
      <w:pPr>
        <w:pStyle w:val="maintext"/>
        <w:ind w:firstLineChars="0" w:firstLine="0"/>
        <w:jc w:val="center"/>
        <w:rPr>
          <w:rFonts w:ascii="Calibri" w:hAnsi="Calibri"/>
        </w:rPr>
      </w:pPr>
      <w:r w:rsidRPr="00396F9F">
        <w:rPr>
          <w:rFonts w:ascii="Calibri" w:hAnsi="Calibri"/>
          <w:noProof/>
          <w:lang w:val="en-US" w:eastAsia="en-US"/>
        </w:rPr>
        <w:lastRenderedPageBreak/>
        <w:drawing>
          <wp:inline distT="0" distB="0" distL="0" distR="0" wp14:anchorId="598D30B4" wp14:editId="18925657">
            <wp:extent cx="4696355" cy="3522700"/>
            <wp:effectExtent l="0" t="0" r="0" b="0"/>
            <wp:docPr id="7" name="Picture 6">
              <a:extLst xmlns:a="http://schemas.openxmlformats.org/drawingml/2006/main">
                <a:ext uri="{FF2B5EF4-FFF2-40B4-BE49-F238E27FC236}">
                  <a16:creationId xmlns:a16="http://schemas.microsoft.com/office/drawing/2014/main" id="{26753E74-8D8C-495F-A8AF-F8B377A9EE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6753E74-8D8C-495F-A8AF-F8B377A9EE6A}"/>
                        </a:ext>
                      </a:extLst>
                    </pic:cNvPr>
                    <pic:cNvPicPr>
                      <a:picLocks noChangeAspect="1"/>
                    </pic:cNvPicPr>
                  </pic:nvPicPr>
                  <pic:blipFill>
                    <a:blip r:embed="rId10"/>
                    <a:stretch>
                      <a:fillRect/>
                    </a:stretch>
                  </pic:blipFill>
                  <pic:spPr>
                    <a:xfrm>
                      <a:off x="0" y="0"/>
                      <a:ext cx="4696355" cy="3522700"/>
                    </a:xfrm>
                    <a:prstGeom prst="rect">
                      <a:avLst/>
                    </a:prstGeom>
                  </pic:spPr>
                </pic:pic>
              </a:graphicData>
            </a:graphic>
          </wp:inline>
        </w:drawing>
      </w:r>
    </w:p>
    <w:p w14:paraId="45298F0C" w14:textId="77777777" w:rsidR="005F705D" w:rsidRDefault="005F705D" w:rsidP="005F705D">
      <w:pPr>
        <w:pStyle w:val="maintext"/>
        <w:ind w:firstLineChars="0" w:firstLine="0"/>
        <w:jc w:val="center"/>
        <w:rPr>
          <w:rFonts w:ascii="Calibri" w:hAnsi="Calibri"/>
          <w:b/>
        </w:rPr>
      </w:pPr>
      <w:r>
        <w:rPr>
          <w:rFonts w:ascii="Calibri" w:hAnsi="Calibri"/>
          <w:b/>
        </w:rPr>
        <w:t xml:space="preserve">Figure 2: </w:t>
      </w:r>
      <w:r w:rsidR="00BD2886">
        <w:rPr>
          <w:rFonts w:ascii="Calibri" w:hAnsi="Calibri"/>
          <w:b/>
        </w:rPr>
        <w:t xml:space="preserve">Comparison of </w:t>
      </w:r>
      <w:r w:rsidR="00092E30">
        <w:rPr>
          <w:rFonts w:ascii="Calibri" w:hAnsi="Calibri"/>
          <w:b/>
        </w:rPr>
        <w:t xml:space="preserve">E2E </w:t>
      </w:r>
      <w:r w:rsidR="00BD2886">
        <w:rPr>
          <w:rFonts w:ascii="Calibri" w:hAnsi="Calibri"/>
          <w:b/>
        </w:rPr>
        <w:t>user throughput</w:t>
      </w:r>
      <w:r w:rsidR="00092E30">
        <w:rPr>
          <w:rFonts w:ascii="Calibri" w:hAnsi="Calibri"/>
          <w:b/>
        </w:rPr>
        <w:t xml:space="preserve"> with or</w:t>
      </w:r>
      <w:r w:rsidR="00BD2886">
        <w:rPr>
          <w:rFonts w:ascii="Calibri" w:hAnsi="Calibri"/>
          <w:b/>
        </w:rPr>
        <w:t xml:space="preserve"> </w:t>
      </w:r>
      <w:r w:rsidR="00092E30">
        <w:rPr>
          <w:rFonts w:ascii="Calibri" w:hAnsi="Calibri"/>
          <w:b/>
        </w:rPr>
        <w:t>without IAB specific</w:t>
      </w:r>
      <w:r w:rsidR="00BD2886">
        <w:rPr>
          <w:rFonts w:ascii="Calibri" w:hAnsi="Calibri"/>
          <w:b/>
        </w:rPr>
        <w:t xml:space="preserve"> </w:t>
      </w:r>
      <w:r w:rsidR="00092E30">
        <w:rPr>
          <w:rFonts w:ascii="Calibri" w:hAnsi="Calibri"/>
          <w:b/>
        </w:rPr>
        <w:t xml:space="preserve">scheduling </w:t>
      </w:r>
      <w:r w:rsidR="00BD2886">
        <w:rPr>
          <w:rFonts w:ascii="Calibri" w:hAnsi="Calibri"/>
          <w:b/>
        </w:rPr>
        <w:t>weights at IAB nodes/donors</w:t>
      </w:r>
    </w:p>
    <w:p w14:paraId="66618C62" w14:textId="77777777" w:rsidR="00BD2886" w:rsidRPr="005F705D" w:rsidRDefault="00BD2886" w:rsidP="005F705D">
      <w:pPr>
        <w:pStyle w:val="maintext"/>
        <w:ind w:firstLineChars="0" w:firstLine="0"/>
        <w:jc w:val="center"/>
        <w:rPr>
          <w:rFonts w:ascii="Calibri" w:hAnsi="Calibri"/>
          <w:b/>
        </w:rPr>
      </w:pPr>
    </w:p>
    <w:p w14:paraId="47538150" w14:textId="592A45B3" w:rsidR="00591190" w:rsidRDefault="005F705D" w:rsidP="004131D6">
      <w:pPr>
        <w:pStyle w:val="maintext"/>
        <w:ind w:firstLineChars="0" w:firstLine="0"/>
        <w:rPr>
          <w:rFonts w:ascii="Calibri" w:hAnsi="Calibri"/>
        </w:rPr>
      </w:pPr>
      <w:r>
        <w:rPr>
          <w:rFonts w:ascii="Calibri" w:hAnsi="Calibri"/>
        </w:rPr>
        <w:t>Figure 2 illustrates the benefit of providing information about the downstream access/backhaul link radio conditions at the schedulers of higher-up IAB nodes or donor nodes. System simulations based on assumptions in the IAB TR [</w:t>
      </w:r>
      <w:r w:rsidR="00AF2F00">
        <w:rPr>
          <w:rFonts w:ascii="Calibri" w:hAnsi="Calibri"/>
        </w:rPr>
        <w:t>2</w:t>
      </w:r>
      <w:r>
        <w:rPr>
          <w:rFonts w:ascii="Calibri" w:hAnsi="Calibri"/>
        </w:rPr>
        <w:t xml:space="preserve">] are used to compare the case where the </w:t>
      </w:r>
      <w:r w:rsidR="00FD09FC">
        <w:rPr>
          <w:rFonts w:ascii="Calibri" w:hAnsi="Calibri"/>
        </w:rPr>
        <w:t>scheduling</w:t>
      </w:r>
      <w:r>
        <w:rPr>
          <w:rFonts w:ascii="Calibri" w:hAnsi="Calibri"/>
        </w:rPr>
        <w:t xml:space="preserve"> metric at each parent node is only based on the reported feedback of the directly connected child nodes with the case where the </w:t>
      </w:r>
      <w:r w:rsidR="00FD09FC">
        <w:rPr>
          <w:rFonts w:ascii="Calibri" w:hAnsi="Calibri"/>
        </w:rPr>
        <w:t xml:space="preserve">scheduling </w:t>
      </w:r>
      <w:r>
        <w:rPr>
          <w:rFonts w:ascii="Calibri" w:hAnsi="Calibri"/>
        </w:rPr>
        <w:t xml:space="preserve">metric is computed </w:t>
      </w:r>
      <w:r w:rsidR="00BD2886">
        <w:rPr>
          <w:rFonts w:ascii="Calibri" w:hAnsi="Calibri"/>
        </w:rPr>
        <w:t xml:space="preserve">with additional weights applied depending on the </w:t>
      </w:r>
      <w:r w:rsidR="00092E30">
        <w:rPr>
          <w:rFonts w:ascii="Calibri" w:hAnsi="Calibri"/>
        </w:rPr>
        <w:t>E2E capacity of the route (e.g. the mutual information expressed as log2(1+S</w:t>
      </w:r>
      <w:r w:rsidR="00F07624">
        <w:rPr>
          <w:rFonts w:ascii="Calibri" w:hAnsi="Calibri"/>
        </w:rPr>
        <w:t>I</w:t>
      </w:r>
      <w:r w:rsidR="00092E30">
        <w:rPr>
          <w:rFonts w:ascii="Calibri" w:hAnsi="Calibri"/>
        </w:rPr>
        <w:t>NR))</w:t>
      </w:r>
      <w:r w:rsidR="00F07624">
        <w:rPr>
          <w:rFonts w:ascii="Calibri" w:hAnsi="Calibri"/>
        </w:rPr>
        <w:t>. The SINR is derived from</w:t>
      </w:r>
      <w:r w:rsidR="00092E30">
        <w:rPr>
          <w:rFonts w:ascii="Calibri" w:hAnsi="Calibri"/>
        </w:rPr>
        <w:t xml:space="preserve"> </w:t>
      </w:r>
      <w:r w:rsidR="00F07624">
        <w:rPr>
          <w:rFonts w:ascii="Calibri" w:hAnsi="Calibri"/>
        </w:rPr>
        <w:t>either L3 metrics (</w:t>
      </w:r>
      <w:r w:rsidR="00092E30">
        <w:rPr>
          <w:rFonts w:ascii="Calibri" w:hAnsi="Calibri"/>
        </w:rPr>
        <w:t xml:space="preserve">the </w:t>
      </w:r>
      <w:r w:rsidR="00BD2886">
        <w:rPr>
          <w:rFonts w:ascii="Calibri" w:hAnsi="Calibri"/>
        </w:rPr>
        <w:t>backhaul</w:t>
      </w:r>
      <w:r w:rsidR="00F07624">
        <w:rPr>
          <w:rFonts w:ascii="Calibri" w:hAnsi="Calibri"/>
        </w:rPr>
        <w:t>/</w:t>
      </w:r>
      <w:r w:rsidR="00BD2886">
        <w:rPr>
          <w:rFonts w:ascii="Calibri" w:hAnsi="Calibri"/>
        </w:rPr>
        <w:t>access link RSRP</w:t>
      </w:r>
      <w:r w:rsidR="00F07624">
        <w:rPr>
          <w:rFonts w:ascii="Calibri" w:hAnsi="Calibri"/>
        </w:rPr>
        <w:t xml:space="preserve"> values) or L1 metrics (e</w:t>
      </w:r>
      <w:r w:rsidR="00F07624" w:rsidRPr="00F07624">
        <w:rPr>
          <w:rFonts w:ascii="Calibri" w:hAnsi="Calibri"/>
        </w:rPr>
        <w:t>xponential effective SNR mapping</w:t>
      </w:r>
      <w:r w:rsidR="00F07624">
        <w:rPr>
          <w:rFonts w:ascii="Calibri" w:hAnsi="Calibri"/>
        </w:rPr>
        <w:t xml:space="preserve"> </w:t>
      </w:r>
      <w:r w:rsidR="00131029">
        <w:rPr>
          <w:rFonts w:ascii="Calibri" w:hAnsi="Calibri"/>
        </w:rPr>
        <w:t xml:space="preserve">values </w:t>
      </w:r>
      <w:r w:rsidR="00F07624">
        <w:rPr>
          <w:rFonts w:ascii="Calibri" w:hAnsi="Calibri"/>
        </w:rPr>
        <w:t>derived from MT/UE reported CSI)</w:t>
      </w:r>
      <w:r w:rsidR="00BD2886">
        <w:rPr>
          <w:rFonts w:ascii="Calibri" w:hAnsi="Calibri"/>
        </w:rPr>
        <w:t xml:space="preserve">. </w:t>
      </w:r>
    </w:p>
    <w:p w14:paraId="6994C19C" w14:textId="77777777" w:rsidR="00FD09FC" w:rsidRDefault="00591190" w:rsidP="00FD09FC">
      <w:pPr>
        <w:pStyle w:val="maintext"/>
        <w:ind w:firstLineChars="0" w:firstLine="0"/>
        <w:rPr>
          <w:rFonts w:ascii="Calibri" w:hAnsi="Calibri"/>
          <w:i/>
        </w:rPr>
      </w:pPr>
      <w:r>
        <w:rPr>
          <w:rFonts w:ascii="Calibri" w:hAnsi="Calibri"/>
        </w:rPr>
        <w:t xml:space="preserve">Specifically, the benefit metric is computed as an additional weight applied </w:t>
      </w:r>
      <w:r w:rsidR="00FD09FC">
        <w:rPr>
          <w:rFonts w:ascii="Calibri" w:hAnsi="Calibri"/>
        </w:rPr>
        <w:t xml:space="preserve">by the parent node </w:t>
      </w:r>
      <w:r>
        <w:rPr>
          <w:rFonts w:ascii="Calibri" w:hAnsi="Calibri"/>
        </w:rPr>
        <w:t>to the</w:t>
      </w:r>
      <w:r w:rsidR="00FD09FC">
        <w:rPr>
          <w:rFonts w:ascii="Calibri" w:hAnsi="Calibri"/>
        </w:rPr>
        <w:t xml:space="preserve"> child MT’s</w:t>
      </w:r>
      <w:r>
        <w:rPr>
          <w:rFonts w:ascii="Calibri" w:hAnsi="Calibri"/>
        </w:rPr>
        <w:t xml:space="preserve"> </w:t>
      </w:r>
      <w:r w:rsidR="00FD09FC">
        <w:rPr>
          <w:rFonts w:ascii="Calibri" w:hAnsi="Calibri"/>
          <w:i/>
        </w:rPr>
        <w:t xml:space="preserve">k </w:t>
      </w:r>
      <w:r w:rsidR="00FD09FC">
        <w:rPr>
          <w:rFonts w:ascii="Calibri" w:hAnsi="Calibri"/>
        </w:rPr>
        <w:t xml:space="preserve">Proportional Fair (PF) scheduling metric: </w:t>
      </w:r>
    </w:p>
    <w:p w14:paraId="0AD47EED" w14:textId="77777777" w:rsidR="00FD09FC" w:rsidRDefault="00FD09FC" w:rsidP="00FD09FC">
      <w:pPr>
        <w:pStyle w:val="maintext"/>
        <w:ind w:firstLineChars="0" w:firstLine="720"/>
        <w:rPr>
          <w:rFonts w:ascii="Calibri" w:hAnsi="Calibri"/>
        </w:rPr>
      </w:pPr>
      <w:r w:rsidRPr="00FD09FC">
        <w:rPr>
          <w:rFonts w:ascii="Calibri" w:hAnsi="Calibri"/>
          <w:i/>
        </w:rPr>
        <w:t>PF_k</w:t>
      </w:r>
      <w:r>
        <w:rPr>
          <w:rFonts w:ascii="Calibri" w:hAnsi="Calibri"/>
          <w:i/>
        </w:rPr>
        <w:t>(t)</w:t>
      </w:r>
      <w:r w:rsidRPr="00FD09FC">
        <w:rPr>
          <w:rFonts w:ascii="Calibri" w:hAnsi="Calibri"/>
          <w:i/>
        </w:rPr>
        <w:t xml:space="preserve"> = </w:t>
      </w:r>
      <w:r>
        <w:rPr>
          <w:rFonts w:ascii="Calibri" w:hAnsi="Calibri"/>
          <w:i/>
        </w:rPr>
        <w:t>IAB_bonus*(</w:t>
      </w:r>
      <w:r w:rsidRPr="00FD09FC">
        <w:rPr>
          <w:rFonts w:ascii="Calibri" w:hAnsi="Calibri"/>
          <w:i/>
        </w:rPr>
        <w:t>R_k,instantaneous(t)/R_k, average(t)</w:t>
      </w:r>
      <w:r>
        <w:rPr>
          <w:rFonts w:ascii="Calibri" w:hAnsi="Calibri"/>
          <w:i/>
        </w:rPr>
        <w:t>)</w:t>
      </w:r>
      <w:r>
        <w:rPr>
          <w:rFonts w:ascii="Calibri" w:hAnsi="Calibri"/>
        </w:rPr>
        <w:t xml:space="preserve"> ,</w:t>
      </w:r>
      <w:r w:rsidR="00AD7BCD">
        <w:rPr>
          <w:rFonts w:ascii="Calibri" w:hAnsi="Calibri"/>
        </w:rPr>
        <w:t xml:space="preserve">  (1)</w:t>
      </w:r>
    </w:p>
    <w:p w14:paraId="15160A3D" w14:textId="77777777" w:rsidR="00FD09FC" w:rsidRDefault="00FD09FC" w:rsidP="00FD09FC">
      <w:pPr>
        <w:pStyle w:val="maintext"/>
        <w:ind w:firstLineChars="0" w:firstLine="0"/>
        <w:rPr>
          <w:rFonts w:ascii="Calibri" w:hAnsi="Calibri"/>
        </w:rPr>
      </w:pPr>
      <w:r>
        <w:rPr>
          <w:rFonts w:ascii="Calibri" w:hAnsi="Calibri"/>
        </w:rPr>
        <w:t>where:</w:t>
      </w:r>
    </w:p>
    <w:p w14:paraId="09938C39" w14:textId="77777777" w:rsidR="00FD09FC" w:rsidRDefault="00FD09FC" w:rsidP="00FD09FC">
      <w:pPr>
        <w:pStyle w:val="maintext"/>
        <w:ind w:firstLineChars="0" w:firstLine="720"/>
        <w:rPr>
          <w:rFonts w:ascii="Calibri" w:hAnsi="Calibri"/>
        </w:rPr>
      </w:pPr>
      <w:r w:rsidRPr="00FD09FC">
        <w:rPr>
          <w:rFonts w:ascii="Calibri" w:hAnsi="Calibri"/>
          <w:i/>
        </w:rPr>
        <w:t>R_k,instantaneous(t)</w:t>
      </w:r>
      <w:r>
        <w:rPr>
          <w:rFonts w:ascii="Calibri" w:hAnsi="Calibri"/>
        </w:rPr>
        <w:t xml:space="preserve"> is the instantaneous throughput of the MT at time </w:t>
      </w:r>
      <w:r w:rsidRPr="00FD09FC">
        <w:rPr>
          <w:rFonts w:ascii="Calibri" w:hAnsi="Calibri"/>
          <w:i/>
        </w:rPr>
        <w:t>t</w:t>
      </w:r>
      <w:r>
        <w:rPr>
          <w:rFonts w:ascii="Calibri" w:hAnsi="Calibri"/>
        </w:rPr>
        <w:t>,</w:t>
      </w:r>
    </w:p>
    <w:p w14:paraId="7C7713CF" w14:textId="77777777" w:rsidR="00FD09FC" w:rsidRDefault="00FD09FC" w:rsidP="00FD09FC">
      <w:pPr>
        <w:pStyle w:val="maintext"/>
        <w:ind w:firstLineChars="0" w:firstLine="720"/>
        <w:rPr>
          <w:rFonts w:ascii="Calibri" w:hAnsi="Calibri"/>
        </w:rPr>
      </w:pPr>
      <w:r w:rsidRPr="00FD09FC">
        <w:rPr>
          <w:rFonts w:ascii="Calibri" w:hAnsi="Calibri"/>
          <w:i/>
        </w:rPr>
        <w:t>R_k, average</w:t>
      </w:r>
      <w:r>
        <w:rPr>
          <w:rFonts w:ascii="Calibri" w:hAnsi="Calibri"/>
          <w:i/>
        </w:rPr>
        <w:t>(t)</w:t>
      </w:r>
      <w:r>
        <w:rPr>
          <w:rFonts w:ascii="Calibri" w:hAnsi="Calibri"/>
        </w:rPr>
        <w:t xml:space="preserve"> is the average throughput of the MT up to time </w:t>
      </w:r>
      <w:r w:rsidRPr="00FD09FC">
        <w:rPr>
          <w:rFonts w:ascii="Calibri" w:hAnsi="Calibri"/>
          <w:i/>
        </w:rPr>
        <w:t>t</w:t>
      </w:r>
      <w:r>
        <w:rPr>
          <w:rFonts w:ascii="Calibri" w:hAnsi="Calibri"/>
        </w:rPr>
        <w:t>, and</w:t>
      </w:r>
    </w:p>
    <w:p w14:paraId="7F3FF9BC" w14:textId="77777777" w:rsidR="00FD09FC" w:rsidRPr="00FD09FC" w:rsidRDefault="00FD09FC" w:rsidP="00FD09FC">
      <w:pPr>
        <w:pStyle w:val="maintext"/>
        <w:ind w:firstLineChars="0" w:firstLine="720"/>
        <w:rPr>
          <w:rFonts w:ascii="Calibri" w:hAnsi="Calibri"/>
        </w:rPr>
      </w:pPr>
      <w:r w:rsidRPr="00FD09FC">
        <w:rPr>
          <w:rFonts w:ascii="Calibri" w:hAnsi="Calibri"/>
          <w:i/>
        </w:rPr>
        <w:t>IAB_bonus</w:t>
      </w:r>
      <w:r>
        <w:rPr>
          <w:rFonts w:ascii="Calibri" w:hAnsi="Calibri"/>
        </w:rPr>
        <w:t xml:space="preserve"> is the additional weight applied to MTs compared to access UEs</w:t>
      </w:r>
    </w:p>
    <w:p w14:paraId="545CA625" w14:textId="77777777" w:rsidR="00FD09FC" w:rsidRDefault="00FD09FC" w:rsidP="00FD09FC">
      <w:pPr>
        <w:pStyle w:val="maintext"/>
        <w:ind w:firstLineChars="0" w:firstLine="0"/>
        <w:rPr>
          <w:rFonts w:ascii="Calibri" w:hAnsi="Calibri"/>
        </w:rPr>
      </w:pPr>
      <w:r>
        <w:rPr>
          <w:rFonts w:ascii="Calibri" w:hAnsi="Calibri"/>
        </w:rPr>
        <w:t>Further:</w:t>
      </w:r>
    </w:p>
    <w:p w14:paraId="015EB53C" w14:textId="77777777" w:rsidR="00FD09FC" w:rsidRDefault="00092E30" w:rsidP="00F07624">
      <w:pPr>
        <w:pStyle w:val="maintext"/>
        <w:ind w:firstLineChars="0" w:firstLine="720"/>
        <w:rPr>
          <w:rFonts w:ascii="Calibri" w:hAnsi="Calibri"/>
          <w:i/>
        </w:rPr>
      </w:pPr>
      <w:r>
        <w:rPr>
          <w:rFonts w:ascii="Calibri" w:hAnsi="Calibri"/>
          <w:i/>
        </w:rPr>
        <w:t>IAB_bonus (</w:t>
      </w:r>
      <w:r w:rsidR="00F07624">
        <w:rPr>
          <w:rFonts w:ascii="Calibri" w:hAnsi="Calibri"/>
          <w:i/>
        </w:rPr>
        <w:t>L3 E2E Bonus</w:t>
      </w:r>
      <w:r>
        <w:rPr>
          <w:rFonts w:ascii="Calibri" w:hAnsi="Calibri"/>
          <w:i/>
        </w:rPr>
        <w:t>)</w:t>
      </w:r>
      <w:r w:rsidR="00FD09FC">
        <w:rPr>
          <w:rFonts w:ascii="Calibri" w:hAnsi="Calibri"/>
          <w:i/>
        </w:rPr>
        <w:t xml:space="preserve"> </w:t>
      </w:r>
      <w:r w:rsidR="00FD09FC">
        <w:rPr>
          <w:rFonts w:ascii="Calibri" w:hAnsi="Calibri"/>
        </w:rPr>
        <w:t xml:space="preserve"> = </w:t>
      </w:r>
      <w:r w:rsidR="00F07624">
        <w:rPr>
          <w:rFonts w:ascii="Calibri" w:hAnsi="Calibri"/>
          <w:i/>
        </w:rPr>
        <w:t>log2(1 + min(RSRP{k}_a/b))</w:t>
      </w:r>
    </w:p>
    <w:p w14:paraId="295B5F78" w14:textId="77777777" w:rsidR="00092E30" w:rsidRDefault="00092E30" w:rsidP="00FD09FC">
      <w:pPr>
        <w:pStyle w:val="maintext"/>
        <w:ind w:firstLineChars="0" w:firstLine="720"/>
        <w:rPr>
          <w:rFonts w:ascii="Calibri" w:hAnsi="Calibri"/>
          <w:i/>
        </w:rPr>
      </w:pPr>
      <w:r>
        <w:rPr>
          <w:rFonts w:ascii="Calibri" w:hAnsi="Calibri"/>
          <w:i/>
        </w:rPr>
        <w:t>IAB_bonus (</w:t>
      </w:r>
      <w:r w:rsidR="00F07624">
        <w:rPr>
          <w:rFonts w:ascii="Calibri" w:hAnsi="Calibri"/>
          <w:i/>
        </w:rPr>
        <w:t>L1 E2E Bonus</w:t>
      </w:r>
      <w:r>
        <w:rPr>
          <w:rFonts w:ascii="Calibri" w:hAnsi="Calibri"/>
          <w:i/>
        </w:rPr>
        <w:t>) = log2(1 + min(</w:t>
      </w:r>
      <w:r w:rsidR="00F07624">
        <w:rPr>
          <w:rFonts w:ascii="Calibri" w:hAnsi="Calibri"/>
          <w:i/>
        </w:rPr>
        <w:t>EESM</w:t>
      </w:r>
      <w:r>
        <w:rPr>
          <w:rFonts w:ascii="Calibri" w:hAnsi="Calibri"/>
          <w:i/>
        </w:rPr>
        <w:t>{k}_a/b))</w:t>
      </w:r>
    </w:p>
    <w:p w14:paraId="316A3991" w14:textId="77777777" w:rsidR="00FD09FC" w:rsidRDefault="00FD09FC" w:rsidP="00FD09FC">
      <w:pPr>
        <w:pStyle w:val="maintext"/>
        <w:ind w:firstLineChars="0" w:firstLine="0"/>
        <w:rPr>
          <w:rFonts w:ascii="Calibri" w:hAnsi="Calibri"/>
        </w:rPr>
      </w:pPr>
      <w:r>
        <w:rPr>
          <w:rFonts w:ascii="Calibri" w:hAnsi="Calibri"/>
        </w:rPr>
        <w:t>where:</w:t>
      </w:r>
    </w:p>
    <w:p w14:paraId="532F2CC7" w14:textId="77777777" w:rsidR="00800F70" w:rsidRPr="00FD09FC" w:rsidRDefault="00092E30" w:rsidP="00F07624">
      <w:pPr>
        <w:pStyle w:val="maintext"/>
        <w:ind w:left="720" w:firstLineChars="0" w:firstLine="0"/>
        <w:rPr>
          <w:rFonts w:ascii="Calibri" w:hAnsi="Calibri"/>
        </w:rPr>
      </w:pPr>
      <w:r>
        <w:rPr>
          <w:rFonts w:ascii="Calibri" w:hAnsi="Calibri"/>
          <w:i/>
        </w:rPr>
        <w:t>R</w:t>
      </w:r>
      <w:r w:rsidR="00F07624">
        <w:rPr>
          <w:rFonts w:ascii="Calibri" w:hAnsi="Calibri"/>
          <w:i/>
        </w:rPr>
        <w:t>SRP</w:t>
      </w:r>
      <w:r>
        <w:rPr>
          <w:rFonts w:ascii="Calibri" w:hAnsi="Calibri"/>
          <w:i/>
        </w:rPr>
        <w:t>{k}_a/b</w:t>
      </w:r>
      <w:r w:rsidR="00FD09FC">
        <w:rPr>
          <w:rFonts w:ascii="Calibri" w:hAnsi="Calibri"/>
          <w:i/>
        </w:rPr>
        <w:t xml:space="preserve"> </w:t>
      </w:r>
      <w:r w:rsidR="00FD09FC" w:rsidRPr="00800F70">
        <w:rPr>
          <w:rFonts w:ascii="Calibri" w:hAnsi="Calibri"/>
        </w:rPr>
        <w:t>=</w:t>
      </w:r>
      <w:r w:rsidR="00FD09FC">
        <w:rPr>
          <w:rFonts w:ascii="Calibri" w:hAnsi="Calibri"/>
          <w:i/>
        </w:rPr>
        <w:t xml:space="preserve"> </w:t>
      </w:r>
      <w:r w:rsidR="00FD09FC">
        <w:rPr>
          <w:rFonts w:ascii="Calibri" w:hAnsi="Calibri"/>
        </w:rPr>
        <w:t>The</w:t>
      </w:r>
      <w:r>
        <w:rPr>
          <w:rFonts w:ascii="Calibri" w:hAnsi="Calibri"/>
        </w:rPr>
        <w:t xml:space="preserve"> set of </w:t>
      </w:r>
      <w:r w:rsidR="00131029">
        <w:rPr>
          <w:rFonts w:ascii="Calibri" w:hAnsi="Calibri"/>
        </w:rPr>
        <w:t>RSRP values</w:t>
      </w:r>
      <w:r>
        <w:rPr>
          <w:rFonts w:ascii="Calibri" w:hAnsi="Calibri"/>
        </w:rPr>
        <w:t xml:space="preserve"> of </w:t>
      </w:r>
      <w:r w:rsidR="00FD09FC">
        <w:rPr>
          <w:rFonts w:ascii="Calibri" w:hAnsi="Calibri"/>
        </w:rPr>
        <w:t xml:space="preserve">the </w:t>
      </w:r>
      <w:r>
        <w:rPr>
          <w:rFonts w:ascii="Calibri" w:hAnsi="Calibri"/>
        </w:rPr>
        <w:t xml:space="preserve">access and </w:t>
      </w:r>
      <w:r w:rsidR="00FD09FC">
        <w:rPr>
          <w:rFonts w:ascii="Calibri" w:hAnsi="Calibri"/>
        </w:rPr>
        <w:t>backhaul link</w:t>
      </w:r>
      <w:r>
        <w:rPr>
          <w:rFonts w:ascii="Calibri" w:hAnsi="Calibri"/>
        </w:rPr>
        <w:t>(s)</w:t>
      </w:r>
      <w:r w:rsidR="00FD09FC">
        <w:rPr>
          <w:rFonts w:ascii="Calibri" w:hAnsi="Calibri"/>
        </w:rPr>
        <w:t xml:space="preserve"> associated with the route selected </w:t>
      </w:r>
      <w:r w:rsidR="00800F70">
        <w:rPr>
          <w:rFonts w:ascii="Calibri" w:hAnsi="Calibri"/>
        </w:rPr>
        <w:t>by IAB node k</w:t>
      </w:r>
      <w:r>
        <w:rPr>
          <w:rFonts w:ascii="Calibri" w:hAnsi="Calibri"/>
        </w:rPr>
        <w:t xml:space="preserve"> derived from R</w:t>
      </w:r>
      <w:r w:rsidR="00131029">
        <w:rPr>
          <w:rFonts w:ascii="Calibri" w:hAnsi="Calibri"/>
        </w:rPr>
        <w:t>RM</w:t>
      </w:r>
      <w:r>
        <w:rPr>
          <w:rFonts w:ascii="Calibri" w:hAnsi="Calibri"/>
        </w:rPr>
        <w:t xml:space="preserve"> measurements.</w:t>
      </w:r>
      <w:r w:rsidR="00800F70">
        <w:rPr>
          <w:rFonts w:ascii="Calibri" w:hAnsi="Calibri"/>
          <w:i/>
        </w:rPr>
        <w:t xml:space="preserve"> </w:t>
      </w:r>
    </w:p>
    <w:p w14:paraId="53D5C038" w14:textId="77777777" w:rsidR="00F07624" w:rsidRPr="00FD09FC" w:rsidRDefault="00F07624" w:rsidP="00F07624">
      <w:pPr>
        <w:pStyle w:val="maintext"/>
        <w:ind w:left="720" w:firstLineChars="0" w:firstLine="0"/>
        <w:rPr>
          <w:rFonts w:ascii="Calibri" w:hAnsi="Calibri"/>
        </w:rPr>
      </w:pPr>
      <w:r>
        <w:rPr>
          <w:rFonts w:ascii="Calibri" w:hAnsi="Calibri"/>
          <w:i/>
        </w:rPr>
        <w:t xml:space="preserve">EESM{k}_a/b </w:t>
      </w:r>
      <w:r w:rsidRPr="00800F70">
        <w:rPr>
          <w:rFonts w:ascii="Calibri" w:hAnsi="Calibri"/>
        </w:rPr>
        <w:t>=</w:t>
      </w:r>
      <w:r>
        <w:rPr>
          <w:rFonts w:ascii="Calibri" w:hAnsi="Calibri"/>
          <w:i/>
        </w:rPr>
        <w:t xml:space="preserve"> </w:t>
      </w:r>
      <w:r>
        <w:rPr>
          <w:rFonts w:ascii="Calibri" w:hAnsi="Calibri"/>
        </w:rPr>
        <w:t xml:space="preserve">The set of </w:t>
      </w:r>
      <w:r w:rsidR="00131029">
        <w:rPr>
          <w:rFonts w:ascii="Calibri" w:hAnsi="Calibri"/>
        </w:rPr>
        <w:t xml:space="preserve">exponential effective SNR mapping (EESM) values </w:t>
      </w:r>
      <w:r>
        <w:rPr>
          <w:rFonts w:ascii="Calibri" w:hAnsi="Calibri"/>
        </w:rPr>
        <w:t>of the access and backhaul link(s) associated with the route selected by IAB node k derived from CSI measurements.</w:t>
      </w:r>
      <w:r>
        <w:rPr>
          <w:rFonts w:ascii="Calibri" w:hAnsi="Calibri"/>
          <w:i/>
        </w:rPr>
        <w:t xml:space="preserve"> </w:t>
      </w:r>
    </w:p>
    <w:p w14:paraId="7E841559" w14:textId="2E55D336" w:rsidR="005F705D" w:rsidRDefault="00BD2886" w:rsidP="004131D6">
      <w:pPr>
        <w:pStyle w:val="maintext"/>
        <w:ind w:firstLineChars="0" w:firstLine="0"/>
        <w:rPr>
          <w:rFonts w:ascii="Calibri" w:hAnsi="Calibri"/>
        </w:rPr>
      </w:pPr>
      <w:r>
        <w:rPr>
          <w:rFonts w:ascii="Calibri" w:hAnsi="Calibri"/>
        </w:rPr>
        <w:lastRenderedPageBreak/>
        <w:t>The results in Figure 2 show</w:t>
      </w:r>
      <w:r w:rsidR="00092E30">
        <w:rPr>
          <w:rFonts w:ascii="Calibri" w:hAnsi="Calibri"/>
        </w:rPr>
        <w:t>s</w:t>
      </w:r>
      <w:r>
        <w:rPr>
          <w:rFonts w:ascii="Calibri" w:hAnsi="Calibri"/>
        </w:rPr>
        <w:t xml:space="preserve"> the significant benefits of this form of radio-aware scheduling, especially for the lower and median ranges of the L2 throughput distribution. The gains are mainly derived from the new ability for the higher-up node in the topology to be able to prioritize routes which may suffer significant congestion due to a large number of downstream nodes</w:t>
      </w:r>
      <w:r w:rsidR="00AD7BCD">
        <w:rPr>
          <w:rFonts w:ascii="Calibri" w:hAnsi="Calibri"/>
        </w:rPr>
        <w:t>, and the</w:t>
      </w:r>
      <w:r>
        <w:rPr>
          <w:rFonts w:ascii="Calibri" w:hAnsi="Calibri"/>
        </w:rPr>
        <w:t xml:space="preserve"> large variances between the access and backhaul link quality which cannot be directly derived by the intermediate IAB node’s or donor node’s feedback from its serving links</w:t>
      </w:r>
      <w:r w:rsidR="00131029">
        <w:rPr>
          <w:rFonts w:ascii="Calibri" w:hAnsi="Calibri"/>
        </w:rPr>
        <w:t>. It should also be noted that the larger gains are observed with the L1 E2E Bonus, which cannot be provided by a central entity such as the CU-CP as is possible in case of the L3 E2E Bonus which uses RRM measurements.</w:t>
      </w:r>
      <w:r>
        <w:rPr>
          <w:rFonts w:ascii="Calibri" w:hAnsi="Calibri"/>
        </w:rPr>
        <w:t xml:space="preserve"> </w:t>
      </w:r>
      <w:r w:rsidR="00131029">
        <w:rPr>
          <w:rFonts w:ascii="Calibri" w:hAnsi="Calibri"/>
        </w:rPr>
        <w:t>I</w:t>
      </w:r>
      <w:r>
        <w:rPr>
          <w:rFonts w:ascii="Calibri" w:hAnsi="Calibri"/>
        </w:rPr>
        <w:t>nstead</w:t>
      </w:r>
      <w:r w:rsidR="00131029">
        <w:rPr>
          <w:rFonts w:ascii="Calibri" w:hAnsi="Calibri"/>
        </w:rPr>
        <w:t>, the L1 Bonus requires</w:t>
      </w:r>
      <w:r>
        <w:rPr>
          <w:rFonts w:ascii="Calibri" w:hAnsi="Calibri"/>
        </w:rPr>
        <w:t xml:space="preserve"> tunnelling the feedback or the values of the weights to be applied in the PF scheduling via </w:t>
      </w:r>
      <w:r w:rsidR="007A3734">
        <w:rPr>
          <w:rFonts w:ascii="Calibri" w:hAnsi="Calibri"/>
        </w:rPr>
        <w:t>L2 signalling.</w:t>
      </w:r>
    </w:p>
    <w:p w14:paraId="2D948B92" w14:textId="58D783AA" w:rsidR="00D624C1" w:rsidRDefault="00D624C1" w:rsidP="004131D6">
      <w:pPr>
        <w:pStyle w:val="maintext"/>
        <w:ind w:firstLineChars="0" w:firstLine="0"/>
        <w:rPr>
          <w:rFonts w:ascii="Calibri" w:hAnsi="Calibri"/>
          <w:b/>
        </w:rPr>
      </w:pPr>
      <w:r>
        <w:rPr>
          <w:rFonts w:ascii="Calibri" w:hAnsi="Calibri"/>
          <w:b/>
          <w:bCs/>
        </w:rPr>
        <w:t xml:space="preserve">Observation 1: Compared to centralized approaches, IAB network performance can be improved by L2 signalling of a benefit </w:t>
      </w:r>
      <w:r w:rsidRPr="004131D6">
        <w:rPr>
          <w:rFonts w:ascii="Calibri" w:hAnsi="Calibri"/>
          <w:b/>
        </w:rPr>
        <w:t xml:space="preserve">metric </w:t>
      </w:r>
      <w:r>
        <w:rPr>
          <w:rFonts w:ascii="Calibri" w:hAnsi="Calibri"/>
          <w:b/>
        </w:rPr>
        <w:t xml:space="preserve">which can be used </w:t>
      </w:r>
      <w:r w:rsidRPr="004131D6">
        <w:rPr>
          <w:rFonts w:ascii="Calibri" w:hAnsi="Calibri"/>
          <w:b/>
        </w:rPr>
        <w:t>to communicate weighting of bearers</w:t>
      </w:r>
      <w:r>
        <w:rPr>
          <w:rFonts w:ascii="Calibri" w:hAnsi="Calibri"/>
          <w:b/>
        </w:rPr>
        <w:t>/RLC channels</w:t>
      </w:r>
      <w:r w:rsidRPr="004131D6">
        <w:rPr>
          <w:rFonts w:ascii="Calibri" w:hAnsi="Calibri"/>
          <w:b/>
        </w:rPr>
        <w:t xml:space="preserve"> between schedulers of different IAB-nodes</w:t>
      </w:r>
      <w:r>
        <w:rPr>
          <w:rFonts w:ascii="Calibri" w:hAnsi="Calibri"/>
          <w:b/>
        </w:rPr>
        <w:t>, e.g. taking L1/L3 link quality measurements and the topology associated with different routes into account</w:t>
      </w:r>
      <w:r w:rsidRPr="004131D6">
        <w:rPr>
          <w:rFonts w:ascii="Calibri" w:hAnsi="Calibri"/>
          <w:b/>
        </w:rPr>
        <w:t>.</w:t>
      </w:r>
    </w:p>
    <w:p w14:paraId="2329E1EB" w14:textId="77777777" w:rsidR="00D624C1" w:rsidRPr="00D624C1" w:rsidRDefault="00D624C1" w:rsidP="004131D6">
      <w:pPr>
        <w:pStyle w:val="maintext"/>
        <w:ind w:firstLineChars="0" w:firstLine="0"/>
        <w:rPr>
          <w:rFonts w:ascii="Calibri" w:hAnsi="Calibri"/>
          <w:b/>
          <w:bCs/>
        </w:rPr>
      </w:pPr>
    </w:p>
    <w:p w14:paraId="611DA1D8" w14:textId="5F70DDEE" w:rsidR="00145C4F" w:rsidRDefault="007A3734" w:rsidP="00145C4F">
      <w:pPr>
        <w:pStyle w:val="maintext"/>
        <w:ind w:firstLineChars="0" w:firstLine="0"/>
        <w:rPr>
          <w:rFonts w:ascii="Calibri" w:hAnsi="Calibri"/>
        </w:rPr>
      </w:pPr>
      <w:r>
        <w:rPr>
          <w:rFonts w:ascii="Calibri" w:hAnsi="Calibri"/>
        </w:rPr>
        <w:t>Given that the BAP sublayer already supports the exchange of control information directly between parent and child nodes, it would be straightforward to add the BH scheduling benefit metric as one of the support functions, a</w:t>
      </w:r>
      <w:r w:rsidR="00145C4F">
        <w:rPr>
          <w:rFonts w:ascii="Calibri" w:hAnsi="Calibri"/>
        </w:rPr>
        <w:t>long with the existing functions captured in 38.300 for IAB:</w:t>
      </w:r>
    </w:p>
    <w:p w14:paraId="48D6D84D" w14:textId="77777777" w:rsidR="00145C4F" w:rsidRPr="00C137F3" w:rsidRDefault="00145C4F" w:rsidP="00145C4F">
      <w:pPr>
        <w:ind w:left="284"/>
        <w:rPr>
          <w:lang w:eastAsia="x-none"/>
        </w:rPr>
      </w:pPr>
      <w:r>
        <w:rPr>
          <w:lang w:eastAsia="x-none"/>
        </w:rPr>
        <w:t>The main service and functions of the BAP sublayer include:</w:t>
      </w:r>
    </w:p>
    <w:p w14:paraId="7534CCF9" w14:textId="77777777" w:rsidR="00145C4F" w:rsidRPr="001A68BE" w:rsidRDefault="00145C4F" w:rsidP="00145C4F">
      <w:pPr>
        <w:pStyle w:val="B1"/>
        <w:ind w:left="852"/>
      </w:pPr>
      <w:r w:rsidRPr="001A68BE">
        <w:t>-</w:t>
      </w:r>
      <w:r w:rsidRPr="001A68BE">
        <w:tab/>
        <w:t>Transfer of data;</w:t>
      </w:r>
    </w:p>
    <w:p w14:paraId="05A865D8" w14:textId="77777777" w:rsidR="00145C4F" w:rsidRPr="001A68BE" w:rsidRDefault="00145C4F" w:rsidP="00145C4F">
      <w:pPr>
        <w:pStyle w:val="B1"/>
        <w:ind w:left="852"/>
        <w:rPr>
          <w:lang w:eastAsia="ko-KR"/>
        </w:rPr>
      </w:pPr>
      <w:r w:rsidRPr="001A68BE">
        <w:rPr>
          <w:lang w:eastAsia="ko-KR"/>
        </w:rPr>
        <w:t>-</w:t>
      </w:r>
      <w:r w:rsidRPr="001A68BE">
        <w:rPr>
          <w:lang w:eastAsia="ko-KR"/>
        </w:rPr>
        <w:tab/>
        <w:t>Routing</w:t>
      </w:r>
      <w:r>
        <w:rPr>
          <w:lang w:eastAsia="ko-KR"/>
        </w:rPr>
        <w:t xml:space="preserve"> of packets to next hop</w:t>
      </w:r>
      <w:r w:rsidRPr="001A68BE">
        <w:rPr>
          <w:lang w:eastAsia="ko-KR"/>
        </w:rPr>
        <w:t>;</w:t>
      </w:r>
    </w:p>
    <w:p w14:paraId="2857CCD6" w14:textId="77777777" w:rsidR="00145C4F" w:rsidRPr="001A68BE" w:rsidRDefault="00145C4F" w:rsidP="00145C4F">
      <w:pPr>
        <w:pStyle w:val="B1"/>
        <w:ind w:left="852"/>
        <w:rPr>
          <w:lang w:eastAsia="ko-KR"/>
        </w:rPr>
      </w:pPr>
      <w:r w:rsidRPr="001A68BE">
        <w:rPr>
          <w:lang w:eastAsia="ko-KR"/>
        </w:rPr>
        <w:t>-</w:t>
      </w:r>
      <w:r w:rsidRPr="001A68BE">
        <w:rPr>
          <w:lang w:eastAsia="ko-KR"/>
        </w:rPr>
        <w:tab/>
      </w:r>
      <w:r>
        <w:rPr>
          <w:lang w:eastAsia="ko-KR"/>
        </w:rPr>
        <w:t>Determination of BAP destination and path for packets from upper layers</w:t>
      </w:r>
      <w:r w:rsidRPr="001A68BE">
        <w:rPr>
          <w:lang w:eastAsia="ko-KR"/>
        </w:rPr>
        <w:t>;</w:t>
      </w:r>
    </w:p>
    <w:p w14:paraId="4B59FE84" w14:textId="77777777" w:rsidR="00145C4F" w:rsidRPr="001A68BE" w:rsidRDefault="00145C4F" w:rsidP="00145C4F">
      <w:pPr>
        <w:pStyle w:val="B1"/>
        <w:ind w:left="852"/>
        <w:rPr>
          <w:lang w:eastAsia="ko-KR"/>
        </w:rPr>
      </w:pPr>
      <w:r w:rsidRPr="001A68BE">
        <w:rPr>
          <w:lang w:eastAsia="ko-KR"/>
        </w:rPr>
        <w:t>-</w:t>
      </w:r>
      <w:r w:rsidRPr="001A68BE">
        <w:rPr>
          <w:lang w:eastAsia="ko-KR"/>
        </w:rPr>
        <w:tab/>
      </w:r>
      <w:r>
        <w:rPr>
          <w:lang w:eastAsia="ko-KR"/>
        </w:rPr>
        <w:t>Determination of</w:t>
      </w:r>
      <w:r w:rsidRPr="001A68BE">
        <w:rPr>
          <w:lang w:eastAsia="ko-KR"/>
        </w:rPr>
        <w:t xml:space="preserve"> egress RLC channels</w:t>
      </w:r>
      <w:r>
        <w:rPr>
          <w:lang w:eastAsia="ko-KR"/>
        </w:rPr>
        <w:t xml:space="preserve"> for packets routed to next hop</w:t>
      </w:r>
      <w:r w:rsidRPr="001A68BE">
        <w:rPr>
          <w:lang w:eastAsia="ko-KR"/>
        </w:rPr>
        <w:t>;</w:t>
      </w:r>
    </w:p>
    <w:p w14:paraId="5685E073" w14:textId="77777777" w:rsidR="00145C4F" w:rsidRDefault="00145C4F" w:rsidP="00145C4F">
      <w:pPr>
        <w:pStyle w:val="B1"/>
        <w:ind w:left="852"/>
        <w:rPr>
          <w:lang w:eastAsia="ko-KR"/>
        </w:rPr>
      </w:pPr>
      <w:r w:rsidRPr="001A68BE">
        <w:rPr>
          <w:lang w:eastAsia="ko-KR"/>
        </w:rPr>
        <w:t>-</w:t>
      </w:r>
      <w:r w:rsidRPr="001A68BE">
        <w:rPr>
          <w:lang w:eastAsia="ko-KR"/>
        </w:rPr>
        <w:tab/>
      </w:r>
      <w:r>
        <w:rPr>
          <w:lang w:eastAsia="ko-KR"/>
        </w:rPr>
        <w:t>Differentiating</w:t>
      </w:r>
      <w:r w:rsidRPr="00603976">
        <w:rPr>
          <w:lang w:eastAsia="ko-KR"/>
        </w:rPr>
        <w:t xml:space="preserve"> traffic to be delivered to upper layers from traff</w:t>
      </w:r>
      <w:r>
        <w:rPr>
          <w:lang w:eastAsia="ko-KR"/>
        </w:rPr>
        <w:t xml:space="preserve">ic to be delivered to egress link; </w:t>
      </w:r>
    </w:p>
    <w:p w14:paraId="69007517" w14:textId="77777777" w:rsidR="00145C4F" w:rsidRDefault="00145C4F" w:rsidP="00145C4F">
      <w:pPr>
        <w:pStyle w:val="B1"/>
        <w:ind w:left="852"/>
      </w:pPr>
      <w:r w:rsidRPr="001A68BE">
        <w:t>-</w:t>
      </w:r>
      <w:r w:rsidRPr="001A68BE">
        <w:tab/>
        <w:t>Flow control</w:t>
      </w:r>
      <w:r>
        <w:t xml:space="preserve"> feedback </w:t>
      </w:r>
      <w:proofErr w:type="spellStart"/>
      <w:r>
        <w:t>signalling</w:t>
      </w:r>
      <w:proofErr w:type="spellEnd"/>
      <w:r w:rsidRPr="001A68BE">
        <w:t>;</w:t>
      </w:r>
    </w:p>
    <w:p w14:paraId="5198E0FA" w14:textId="4BCB6F2A" w:rsidR="00145C4F" w:rsidRDefault="00145C4F" w:rsidP="00145C4F">
      <w:pPr>
        <w:pStyle w:val="B1"/>
        <w:ind w:left="852"/>
      </w:pPr>
      <w:r>
        <w:t>-</w:t>
      </w:r>
      <w:r>
        <w:tab/>
        <w:t>BH RLF notification;</w:t>
      </w:r>
    </w:p>
    <w:p w14:paraId="2E906614" w14:textId="553CB107" w:rsidR="007A3734" w:rsidRDefault="00145C4F" w:rsidP="00082D3A">
      <w:pPr>
        <w:pStyle w:val="B1"/>
        <w:ind w:left="852"/>
        <w:rPr>
          <w:color w:val="FF0000"/>
        </w:rPr>
      </w:pPr>
      <w:r w:rsidRPr="00145C4F">
        <w:rPr>
          <w:color w:val="FF0000"/>
          <w:lang w:val="en-US"/>
        </w:rPr>
        <w:t xml:space="preserve">- </w:t>
      </w:r>
      <w:r w:rsidRPr="00145C4F">
        <w:rPr>
          <w:color w:val="FF0000"/>
          <w:lang w:val="en-US"/>
        </w:rPr>
        <w:tab/>
      </w:r>
      <w:r w:rsidRPr="00145C4F">
        <w:rPr>
          <w:color w:val="FF0000"/>
        </w:rPr>
        <w:t>BH scheduling benefit metric;</w:t>
      </w:r>
    </w:p>
    <w:p w14:paraId="624CE1B0" w14:textId="2E8BF344" w:rsidR="00BD2886" w:rsidRDefault="00042177" w:rsidP="004A7002">
      <w:pPr>
        <w:rPr>
          <w:rFonts w:ascii="Calibri" w:eastAsia="Malgun Gothic" w:hAnsi="Calibri" w:cs="Batang"/>
          <w:b/>
          <w:lang w:val="en-GB" w:eastAsia="ko-KR"/>
        </w:rPr>
      </w:pPr>
      <w:r>
        <w:rPr>
          <w:rFonts w:ascii="Calibri" w:eastAsia="Malgun Gothic" w:hAnsi="Calibri" w:cs="Batang"/>
          <w:b/>
          <w:lang w:val="en-GB" w:eastAsia="ko-KR"/>
        </w:rPr>
        <w:t xml:space="preserve">Proposal </w:t>
      </w:r>
      <w:r w:rsidR="00BD2886">
        <w:rPr>
          <w:rFonts w:ascii="Calibri" w:eastAsia="Malgun Gothic" w:hAnsi="Calibri" w:cs="Batang"/>
          <w:b/>
          <w:lang w:val="en-GB" w:eastAsia="ko-KR"/>
        </w:rPr>
        <w:t>1</w:t>
      </w:r>
      <w:r w:rsidR="004A7002" w:rsidRPr="004131D6">
        <w:rPr>
          <w:rFonts w:ascii="Calibri" w:eastAsia="Malgun Gothic" w:hAnsi="Calibri" w:cs="Batang"/>
          <w:b/>
          <w:lang w:val="en-GB" w:eastAsia="ko-KR"/>
        </w:rPr>
        <w:t xml:space="preserve">: </w:t>
      </w:r>
      <w:r w:rsidR="00D624C1">
        <w:rPr>
          <w:rFonts w:ascii="Calibri" w:eastAsia="Malgun Gothic" w:hAnsi="Calibri" w:cs="Batang"/>
          <w:b/>
          <w:lang w:val="en-GB" w:eastAsia="ko-KR"/>
        </w:rPr>
        <w:t>Add the</w:t>
      </w:r>
      <w:r w:rsidR="004A7002" w:rsidRPr="004131D6">
        <w:rPr>
          <w:rFonts w:ascii="Calibri" w:eastAsia="Malgun Gothic" w:hAnsi="Calibri" w:cs="Batang"/>
          <w:b/>
          <w:lang w:val="en-GB" w:eastAsia="ko-KR"/>
        </w:rPr>
        <w:t xml:space="preserve"> </w:t>
      </w:r>
      <w:r w:rsidR="00131029">
        <w:rPr>
          <w:rFonts w:ascii="Calibri" w:eastAsia="Malgun Gothic" w:hAnsi="Calibri" w:cs="Batang"/>
          <w:b/>
          <w:lang w:val="en-GB" w:eastAsia="ko-KR"/>
        </w:rPr>
        <w:t xml:space="preserve">exchange of </w:t>
      </w:r>
      <w:r w:rsidR="004A7002" w:rsidRPr="004131D6">
        <w:rPr>
          <w:rFonts w:ascii="Calibri" w:eastAsia="Malgun Gothic" w:hAnsi="Calibri" w:cs="Batang"/>
          <w:b/>
          <w:lang w:val="en-GB" w:eastAsia="ko-KR"/>
        </w:rPr>
        <w:t xml:space="preserve">a </w:t>
      </w:r>
      <w:r w:rsidR="00145C4F">
        <w:rPr>
          <w:rFonts w:ascii="Calibri" w:eastAsia="Malgun Gothic" w:hAnsi="Calibri" w:cs="Batang"/>
          <w:b/>
          <w:lang w:val="en-GB" w:eastAsia="ko-KR"/>
        </w:rPr>
        <w:t xml:space="preserve">backhaul scheduling </w:t>
      </w:r>
      <w:r w:rsidR="004A7002" w:rsidRPr="004131D6">
        <w:rPr>
          <w:rFonts w:ascii="Calibri" w:eastAsia="Malgun Gothic" w:hAnsi="Calibri" w:cs="Batang"/>
          <w:b/>
          <w:lang w:val="en-GB" w:eastAsia="ko-KR"/>
        </w:rPr>
        <w:t xml:space="preserve">benefit </w:t>
      </w:r>
      <w:r w:rsidR="00D624C1">
        <w:rPr>
          <w:rFonts w:ascii="Calibri" w:eastAsia="Malgun Gothic" w:hAnsi="Calibri" w:cs="Batang"/>
          <w:b/>
          <w:lang w:val="en-GB" w:eastAsia="ko-KR"/>
        </w:rPr>
        <w:t xml:space="preserve">metric to the list of functions of the BAP sublayer in 38.300. </w:t>
      </w:r>
    </w:p>
    <w:p w14:paraId="62C6F15E" w14:textId="5E186A20" w:rsidR="00145C4F" w:rsidRDefault="002F05F3" w:rsidP="004A7002">
      <w:pPr>
        <w:rPr>
          <w:rFonts w:ascii="Calibri" w:eastAsia="Malgun Gothic" w:hAnsi="Calibri" w:cs="Batang"/>
          <w:bCs/>
          <w:lang w:val="en-GB" w:eastAsia="ko-KR"/>
        </w:rPr>
      </w:pPr>
      <w:r>
        <w:rPr>
          <w:rFonts w:ascii="Calibri" w:eastAsia="Malgun Gothic" w:hAnsi="Calibri" w:cs="Batang"/>
          <w:bCs/>
          <w:lang w:val="en-GB" w:eastAsia="ko-KR"/>
        </w:rPr>
        <w:t>As discussed previously, depending on the scenario and different IAB node capabilities/scheduler algorithms, different formulations of the benefit metric can be derived (e.g. based on L1 vs. L3 metrics). In Rel-17 R</w:t>
      </w:r>
      <w:r w:rsidR="00145C4F" w:rsidRPr="00351A03">
        <w:rPr>
          <w:rFonts w:ascii="Calibri" w:eastAsia="Malgun Gothic" w:hAnsi="Calibri" w:cs="Batang"/>
          <w:bCs/>
          <w:lang w:val="en-GB" w:eastAsia="ko-KR"/>
        </w:rPr>
        <w:t xml:space="preserve">AN2 </w:t>
      </w:r>
      <w:r>
        <w:rPr>
          <w:rFonts w:ascii="Calibri" w:eastAsia="Malgun Gothic" w:hAnsi="Calibri" w:cs="Batang"/>
          <w:bCs/>
          <w:lang w:val="en-GB" w:eastAsia="ko-KR"/>
        </w:rPr>
        <w:t>should</w:t>
      </w:r>
      <w:r w:rsidR="00145C4F" w:rsidRPr="00351A03">
        <w:rPr>
          <w:rFonts w:ascii="Calibri" w:eastAsia="Malgun Gothic" w:hAnsi="Calibri" w:cs="Batang"/>
          <w:bCs/>
          <w:lang w:val="en-GB" w:eastAsia="ko-KR"/>
        </w:rPr>
        <w:t xml:space="preserve"> </w:t>
      </w:r>
      <w:r>
        <w:rPr>
          <w:rFonts w:ascii="Calibri" w:eastAsia="Malgun Gothic" w:hAnsi="Calibri" w:cs="Batang"/>
          <w:bCs/>
          <w:lang w:val="en-GB" w:eastAsia="ko-KR"/>
        </w:rPr>
        <w:t>introduce</w:t>
      </w:r>
      <w:r w:rsidR="00145C4F" w:rsidRPr="00351A03">
        <w:rPr>
          <w:rFonts w:ascii="Calibri" w:eastAsia="Malgun Gothic" w:hAnsi="Calibri" w:cs="Batang"/>
          <w:bCs/>
          <w:lang w:val="en-GB" w:eastAsia="ko-KR"/>
        </w:rPr>
        <w:t xml:space="preserve"> BAP </w:t>
      </w:r>
      <w:r w:rsidR="00351A03">
        <w:rPr>
          <w:rFonts w:ascii="Calibri" w:eastAsia="Malgun Gothic" w:hAnsi="Calibri" w:cs="Batang"/>
          <w:bCs/>
          <w:lang w:val="en-GB" w:eastAsia="ko-KR"/>
        </w:rPr>
        <w:t>control PDU</w:t>
      </w:r>
      <w:r>
        <w:rPr>
          <w:rFonts w:ascii="Calibri" w:eastAsia="Malgun Gothic" w:hAnsi="Calibri" w:cs="Batang"/>
          <w:bCs/>
          <w:lang w:val="en-GB" w:eastAsia="ko-KR"/>
        </w:rPr>
        <w:t>s</w:t>
      </w:r>
      <w:r w:rsidR="00351A03">
        <w:rPr>
          <w:rFonts w:ascii="Calibri" w:eastAsia="Malgun Gothic" w:hAnsi="Calibri" w:cs="Batang"/>
          <w:bCs/>
          <w:lang w:val="en-GB" w:eastAsia="ko-KR"/>
        </w:rPr>
        <w:t xml:space="preserve"> </w:t>
      </w:r>
      <w:r w:rsidR="00385F27">
        <w:rPr>
          <w:rFonts w:ascii="Calibri" w:eastAsia="Malgun Gothic" w:hAnsi="Calibri" w:cs="Batang"/>
          <w:bCs/>
          <w:lang w:val="en-GB" w:eastAsia="ko-KR"/>
        </w:rPr>
        <w:t>w</w:t>
      </w:r>
      <w:r w:rsidR="00145C4F" w:rsidRPr="00351A03">
        <w:rPr>
          <w:rFonts w:ascii="Calibri" w:eastAsia="Malgun Gothic" w:hAnsi="Calibri" w:cs="Batang"/>
          <w:bCs/>
          <w:lang w:val="en-GB" w:eastAsia="ko-KR"/>
        </w:rPr>
        <w:t xml:space="preserve">ith </w:t>
      </w:r>
      <w:r>
        <w:rPr>
          <w:rFonts w:ascii="Calibri" w:eastAsia="Malgun Gothic" w:hAnsi="Calibri" w:cs="Batang"/>
          <w:bCs/>
          <w:lang w:val="en-GB" w:eastAsia="ko-KR"/>
        </w:rPr>
        <w:t xml:space="preserve">one or more </w:t>
      </w:r>
      <w:r w:rsidR="00145C4F" w:rsidRPr="00351A03">
        <w:rPr>
          <w:rFonts w:ascii="Calibri" w:eastAsia="Malgun Gothic" w:hAnsi="Calibri" w:cs="Batang"/>
          <w:bCs/>
          <w:lang w:val="en-GB" w:eastAsia="ko-KR"/>
        </w:rPr>
        <w:t xml:space="preserve">fields </w:t>
      </w:r>
      <w:r>
        <w:rPr>
          <w:rFonts w:ascii="Calibri" w:eastAsia="Malgun Gothic" w:hAnsi="Calibri" w:cs="Batang"/>
          <w:bCs/>
          <w:lang w:val="en-GB" w:eastAsia="ko-KR"/>
        </w:rPr>
        <w:t xml:space="preserve">which allow the </w:t>
      </w:r>
      <w:r w:rsidR="00351A03" w:rsidRPr="00351A03">
        <w:rPr>
          <w:rFonts w:ascii="Calibri" w:eastAsia="Malgun Gothic" w:hAnsi="Calibri" w:cs="Batang"/>
          <w:bCs/>
          <w:lang w:val="en-GB" w:eastAsia="ko-KR"/>
        </w:rPr>
        <w:t>introduc</w:t>
      </w:r>
      <w:r>
        <w:rPr>
          <w:rFonts w:ascii="Calibri" w:eastAsia="Malgun Gothic" w:hAnsi="Calibri" w:cs="Batang"/>
          <w:bCs/>
          <w:lang w:val="en-GB" w:eastAsia="ko-KR"/>
        </w:rPr>
        <w:t>tion of</w:t>
      </w:r>
      <w:r w:rsidR="00351A03" w:rsidRPr="00351A03">
        <w:rPr>
          <w:rFonts w:ascii="Calibri" w:eastAsia="Malgun Gothic" w:hAnsi="Calibri" w:cs="Batang"/>
          <w:bCs/>
          <w:lang w:val="en-GB" w:eastAsia="ko-KR"/>
        </w:rPr>
        <w:t xml:space="preserve"> different values of the scheduling metric.</w:t>
      </w:r>
    </w:p>
    <w:p w14:paraId="35E09A90" w14:textId="2807BB5C" w:rsidR="00351A03" w:rsidRDefault="00351A03" w:rsidP="004A7002">
      <w:pPr>
        <w:rPr>
          <w:rFonts w:ascii="Calibri" w:eastAsia="Malgun Gothic" w:hAnsi="Calibri" w:cs="Batang"/>
          <w:b/>
          <w:lang w:val="en-GB" w:eastAsia="ko-KR"/>
        </w:rPr>
      </w:pPr>
      <w:r>
        <w:rPr>
          <w:rFonts w:ascii="Calibri" w:eastAsia="Malgun Gothic" w:hAnsi="Calibri" w:cs="Batang"/>
          <w:b/>
          <w:lang w:val="en-GB" w:eastAsia="ko-KR"/>
        </w:rPr>
        <w:t xml:space="preserve">Proposal 2: </w:t>
      </w:r>
      <w:r w:rsidR="002F05F3">
        <w:rPr>
          <w:rFonts w:ascii="Calibri" w:eastAsia="Malgun Gothic" w:hAnsi="Calibri" w:cs="Batang"/>
          <w:b/>
          <w:lang w:val="en-GB" w:eastAsia="ko-KR"/>
        </w:rPr>
        <w:t>Field(s) in the</w:t>
      </w:r>
      <w:r>
        <w:rPr>
          <w:rFonts w:ascii="Calibri" w:eastAsia="Malgun Gothic" w:hAnsi="Calibri" w:cs="Batang"/>
          <w:b/>
          <w:lang w:val="en-GB" w:eastAsia="ko-KR"/>
        </w:rPr>
        <w:t xml:space="preserve"> BAP control PDU should be defined for carrying a backhaul scheduling benefit metric</w:t>
      </w:r>
      <w:r w:rsidR="002F05F3">
        <w:rPr>
          <w:rFonts w:ascii="Calibri" w:eastAsia="Malgun Gothic" w:hAnsi="Calibri" w:cs="Batang"/>
          <w:b/>
          <w:lang w:val="en-GB" w:eastAsia="ko-KR"/>
        </w:rPr>
        <w:t>(s)</w:t>
      </w:r>
      <w:r>
        <w:rPr>
          <w:rFonts w:ascii="Calibri" w:eastAsia="Malgun Gothic" w:hAnsi="Calibri" w:cs="Batang"/>
          <w:b/>
          <w:lang w:val="en-GB" w:eastAsia="ko-KR"/>
        </w:rPr>
        <w:t>.</w:t>
      </w:r>
    </w:p>
    <w:p w14:paraId="1CB886AE"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14:paraId="0CFE98AB" w14:textId="216C67E8" w:rsidR="00D624C1" w:rsidRPr="00D624C1" w:rsidRDefault="004A7002" w:rsidP="00D624C1">
      <w:pPr>
        <w:pStyle w:val="maintext"/>
        <w:ind w:firstLineChars="0" w:firstLine="0"/>
        <w:rPr>
          <w:rFonts w:ascii="Calibri" w:hAnsi="Calibri"/>
        </w:rPr>
      </w:pPr>
      <w:r>
        <w:rPr>
          <w:rFonts w:ascii="Calibri" w:hAnsi="Calibri"/>
        </w:rPr>
        <w:t xml:space="preserve">This contribution discussed requirements and solutions for </w:t>
      </w:r>
      <w:r w:rsidR="00BD2886">
        <w:rPr>
          <w:rFonts w:ascii="Calibri" w:hAnsi="Calibri"/>
        </w:rPr>
        <w:t>IAB radio-aware</w:t>
      </w:r>
      <w:r>
        <w:rPr>
          <w:rFonts w:ascii="Calibri" w:hAnsi="Calibri"/>
        </w:rPr>
        <w:t xml:space="preserve"> scheduling</w:t>
      </w:r>
      <w:r w:rsidR="002F05F3">
        <w:rPr>
          <w:rFonts w:ascii="Calibri" w:hAnsi="Calibri"/>
        </w:rPr>
        <w:t xml:space="preserve"> and local routing</w:t>
      </w:r>
      <w:r>
        <w:rPr>
          <w:rFonts w:ascii="Calibri" w:hAnsi="Calibri"/>
        </w:rPr>
        <w:t xml:space="preserve">. </w:t>
      </w:r>
      <w:r w:rsidR="00BB02D4">
        <w:rPr>
          <w:rFonts w:ascii="Calibri" w:hAnsi="Calibri"/>
        </w:rPr>
        <w:t>The following proposal</w:t>
      </w:r>
      <w:r w:rsidR="00D624C1">
        <w:rPr>
          <w:rFonts w:ascii="Calibri" w:hAnsi="Calibri"/>
        </w:rPr>
        <w:t>s</w:t>
      </w:r>
      <w:r w:rsidR="00BB02D4">
        <w:rPr>
          <w:rFonts w:ascii="Calibri" w:hAnsi="Calibri"/>
        </w:rPr>
        <w:t xml:space="preserve"> w</w:t>
      </w:r>
      <w:r w:rsidR="00D624C1">
        <w:rPr>
          <w:rFonts w:ascii="Calibri" w:hAnsi="Calibri"/>
        </w:rPr>
        <w:t>ere</w:t>
      </w:r>
      <w:r w:rsidR="00BB02D4">
        <w:rPr>
          <w:rFonts w:ascii="Calibri" w:hAnsi="Calibri"/>
        </w:rPr>
        <w:t xml:space="preserve"> made:</w:t>
      </w:r>
      <w:r>
        <w:rPr>
          <w:rFonts w:ascii="Calibri" w:hAnsi="Calibri"/>
        </w:rPr>
        <w:t xml:space="preserve"> </w:t>
      </w:r>
    </w:p>
    <w:p w14:paraId="7746D78F" w14:textId="77777777" w:rsidR="002F05F3" w:rsidRDefault="002F05F3" w:rsidP="002F05F3">
      <w:pPr>
        <w:rPr>
          <w:rFonts w:ascii="Calibri" w:eastAsia="Malgun Gothic" w:hAnsi="Calibri" w:cs="Batang"/>
          <w:b/>
          <w:lang w:val="en-GB" w:eastAsia="ko-KR"/>
        </w:rPr>
      </w:pPr>
      <w:r>
        <w:rPr>
          <w:rFonts w:ascii="Calibri" w:eastAsia="Malgun Gothic" w:hAnsi="Calibri" w:cs="Batang"/>
          <w:b/>
          <w:lang w:val="en-GB" w:eastAsia="ko-KR"/>
        </w:rPr>
        <w:t>Proposal 1</w:t>
      </w:r>
      <w:r w:rsidRPr="004131D6">
        <w:rPr>
          <w:rFonts w:ascii="Calibri" w:eastAsia="Malgun Gothic" w:hAnsi="Calibri" w:cs="Batang"/>
          <w:b/>
          <w:lang w:val="en-GB" w:eastAsia="ko-KR"/>
        </w:rPr>
        <w:t xml:space="preserve">: </w:t>
      </w:r>
      <w:r>
        <w:rPr>
          <w:rFonts w:ascii="Calibri" w:eastAsia="Malgun Gothic" w:hAnsi="Calibri" w:cs="Batang"/>
          <w:b/>
          <w:lang w:val="en-GB" w:eastAsia="ko-KR"/>
        </w:rPr>
        <w:t>Add the</w:t>
      </w:r>
      <w:r w:rsidRPr="004131D6">
        <w:rPr>
          <w:rFonts w:ascii="Calibri" w:eastAsia="Malgun Gothic" w:hAnsi="Calibri" w:cs="Batang"/>
          <w:b/>
          <w:lang w:val="en-GB" w:eastAsia="ko-KR"/>
        </w:rPr>
        <w:t xml:space="preserve"> </w:t>
      </w:r>
      <w:r>
        <w:rPr>
          <w:rFonts w:ascii="Calibri" w:eastAsia="Malgun Gothic" w:hAnsi="Calibri" w:cs="Batang"/>
          <w:b/>
          <w:lang w:val="en-GB" w:eastAsia="ko-KR"/>
        </w:rPr>
        <w:t xml:space="preserve">exchange of </w:t>
      </w:r>
      <w:r w:rsidRPr="004131D6">
        <w:rPr>
          <w:rFonts w:ascii="Calibri" w:eastAsia="Malgun Gothic" w:hAnsi="Calibri" w:cs="Batang"/>
          <w:b/>
          <w:lang w:val="en-GB" w:eastAsia="ko-KR"/>
        </w:rPr>
        <w:t xml:space="preserve">a </w:t>
      </w:r>
      <w:r>
        <w:rPr>
          <w:rFonts w:ascii="Calibri" w:eastAsia="Malgun Gothic" w:hAnsi="Calibri" w:cs="Batang"/>
          <w:b/>
          <w:lang w:val="en-GB" w:eastAsia="ko-KR"/>
        </w:rPr>
        <w:t xml:space="preserve">backhaul scheduling </w:t>
      </w:r>
      <w:r w:rsidRPr="004131D6">
        <w:rPr>
          <w:rFonts w:ascii="Calibri" w:eastAsia="Malgun Gothic" w:hAnsi="Calibri" w:cs="Batang"/>
          <w:b/>
          <w:lang w:val="en-GB" w:eastAsia="ko-KR"/>
        </w:rPr>
        <w:t xml:space="preserve">benefit </w:t>
      </w:r>
      <w:r>
        <w:rPr>
          <w:rFonts w:ascii="Calibri" w:eastAsia="Malgun Gothic" w:hAnsi="Calibri" w:cs="Batang"/>
          <w:b/>
          <w:lang w:val="en-GB" w:eastAsia="ko-KR"/>
        </w:rPr>
        <w:t xml:space="preserve">metric to the list of functions of the BAP sublayer in 38.300. </w:t>
      </w:r>
    </w:p>
    <w:p w14:paraId="6D3A2665" w14:textId="35361846" w:rsidR="002F05F3" w:rsidRDefault="002F05F3" w:rsidP="002F05F3">
      <w:pPr>
        <w:rPr>
          <w:rFonts w:ascii="Calibri" w:eastAsia="Malgun Gothic" w:hAnsi="Calibri" w:cs="Batang"/>
          <w:b/>
          <w:lang w:val="en-GB" w:eastAsia="ko-KR"/>
        </w:rPr>
      </w:pPr>
      <w:r>
        <w:rPr>
          <w:rFonts w:ascii="Calibri" w:eastAsia="Malgun Gothic" w:hAnsi="Calibri" w:cs="Batang"/>
          <w:b/>
          <w:lang w:val="en-GB" w:eastAsia="ko-KR"/>
        </w:rPr>
        <w:t>Proposal 2: Field(s) in the BAP control PDU should be defined for carrying a backhaul scheduling benefit metric(s).</w:t>
      </w:r>
    </w:p>
    <w:p w14:paraId="3CFA9471" w14:textId="256634A9"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r w:rsidR="00D624C1">
        <w:t>s</w:t>
      </w:r>
    </w:p>
    <w:p w14:paraId="741D7C07" w14:textId="323C0014" w:rsidR="004A7002" w:rsidRDefault="004131D6" w:rsidP="004131D6">
      <w:pPr>
        <w:pStyle w:val="2222"/>
        <w:spacing w:after="120" w:line="288" w:lineRule="auto"/>
        <w:ind w:firstLineChars="0" w:firstLine="0"/>
        <w:jc w:val="left"/>
        <w:rPr>
          <w:rFonts w:cs="Times New Roman"/>
          <w:lang w:eastAsia="ko-KR"/>
        </w:rPr>
      </w:pPr>
      <w:r>
        <w:rPr>
          <w:rFonts w:cs="Times New Roman"/>
          <w:lang w:eastAsia="ko-KR"/>
        </w:rPr>
        <w:t xml:space="preserve">[1] </w:t>
      </w:r>
      <w:r w:rsidR="004A7002">
        <w:rPr>
          <w:rFonts w:cs="Times New Roman"/>
          <w:lang w:eastAsia="ko-KR"/>
        </w:rPr>
        <w:t>RP-</w:t>
      </w:r>
      <w:r w:rsidR="00AF2F00">
        <w:rPr>
          <w:rFonts w:cs="Times New Roman"/>
          <w:lang w:eastAsia="ko-KR"/>
        </w:rPr>
        <w:t>201293 New</w:t>
      </w:r>
      <w:r w:rsidRPr="004131D6">
        <w:rPr>
          <w:rFonts w:cs="Times New Roman"/>
          <w:lang w:eastAsia="ko-KR"/>
        </w:rPr>
        <w:t xml:space="preserve"> WID</w:t>
      </w:r>
      <w:r w:rsidR="00AF2F00">
        <w:rPr>
          <w:rFonts w:cs="Times New Roman"/>
          <w:lang w:eastAsia="ko-KR"/>
        </w:rPr>
        <w:t xml:space="preserve"> on Enhancements to</w:t>
      </w:r>
      <w:r w:rsidRPr="004131D6">
        <w:rPr>
          <w:rFonts w:cs="Times New Roman"/>
          <w:lang w:eastAsia="ko-KR"/>
        </w:rPr>
        <w:t xml:space="preserve"> Integrated Access and Backhau</w:t>
      </w:r>
      <w:r w:rsidR="00AF2F00">
        <w:rPr>
          <w:rFonts w:cs="Times New Roman"/>
          <w:lang w:eastAsia="ko-KR"/>
        </w:rPr>
        <w:t>l</w:t>
      </w:r>
      <w:r>
        <w:rPr>
          <w:rFonts w:cs="Times New Roman"/>
          <w:lang w:eastAsia="ko-KR"/>
        </w:rPr>
        <w:t>, Qualcomm</w:t>
      </w:r>
    </w:p>
    <w:p w14:paraId="2A2C159A" w14:textId="57AF5620" w:rsidR="00FE6C15" w:rsidRDefault="00BB6E66" w:rsidP="00BD2886">
      <w:pPr>
        <w:pStyle w:val="2222"/>
        <w:spacing w:after="120" w:line="288" w:lineRule="auto"/>
        <w:ind w:firstLineChars="0" w:firstLine="0"/>
        <w:jc w:val="left"/>
        <w:rPr>
          <w:rFonts w:cs="Arial"/>
        </w:rPr>
      </w:pPr>
      <w:r>
        <w:rPr>
          <w:rFonts w:cs="Times New Roman"/>
          <w:lang w:eastAsia="ko-KR"/>
        </w:rPr>
        <w:t xml:space="preserve">[2] TR 38.874 1.0.0, </w:t>
      </w:r>
      <w:r>
        <w:rPr>
          <w:rFonts w:cs="Arial"/>
        </w:rPr>
        <w:t>Study on Integrated Access and Backhaul</w:t>
      </w:r>
    </w:p>
    <w:sectPr w:rsidR="00FE6C15"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398D7" w14:textId="77777777" w:rsidR="005B66C6" w:rsidRDefault="005B66C6" w:rsidP="00424124">
      <w:pPr>
        <w:spacing w:before="0" w:after="0"/>
      </w:pPr>
      <w:r>
        <w:separator/>
      </w:r>
    </w:p>
  </w:endnote>
  <w:endnote w:type="continuationSeparator" w:id="0">
    <w:p w14:paraId="584F468E" w14:textId="77777777" w:rsidR="005B66C6" w:rsidRDefault="005B66C6"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013D0" w14:textId="77777777" w:rsidR="005B66C6" w:rsidRDefault="005B66C6" w:rsidP="00424124">
      <w:pPr>
        <w:spacing w:before="0" w:after="0"/>
      </w:pPr>
      <w:r>
        <w:separator/>
      </w:r>
    </w:p>
  </w:footnote>
  <w:footnote w:type="continuationSeparator" w:id="0">
    <w:p w14:paraId="5669214D" w14:textId="77777777" w:rsidR="005B66C6" w:rsidRDefault="005B66C6"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5"/>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6"/>
  </w:num>
  <w:num w:numId="8">
    <w:abstractNumId w:val="13"/>
  </w:num>
  <w:num w:numId="9">
    <w:abstractNumId w:val="2"/>
  </w:num>
  <w:num w:numId="10">
    <w:abstractNumId w:val="3"/>
  </w:num>
  <w:num w:numId="11">
    <w:abstractNumId w:val="16"/>
  </w:num>
  <w:num w:numId="12">
    <w:abstractNumId w:val="9"/>
  </w:num>
  <w:num w:numId="13">
    <w:abstractNumId w:val="10"/>
  </w:num>
  <w:num w:numId="14">
    <w:abstractNumId w:val="21"/>
  </w:num>
  <w:num w:numId="15">
    <w:abstractNumId w:val="1"/>
  </w:num>
  <w:num w:numId="16">
    <w:abstractNumId w:val="19"/>
  </w:num>
  <w:num w:numId="17">
    <w:abstractNumId w:val="14"/>
  </w:num>
  <w:num w:numId="18">
    <w:abstractNumId w:val="11"/>
  </w:num>
  <w:num w:numId="19">
    <w:abstractNumId w:val="5"/>
  </w:num>
  <w:num w:numId="20">
    <w:abstractNumId w:val="20"/>
  </w:num>
  <w:num w:numId="21">
    <w:abstractNumId w:val="8"/>
  </w:num>
  <w:num w:numId="2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49CA"/>
    <w:rsid w:val="000052FF"/>
    <w:rsid w:val="00005D82"/>
    <w:rsid w:val="0001485D"/>
    <w:rsid w:val="000149EC"/>
    <w:rsid w:val="00020F1A"/>
    <w:rsid w:val="00032D47"/>
    <w:rsid w:val="000337FC"/>
    <w:rsid w:val="00042177"/>
    <w:rsid w:val="000440EF"/>
    <w:rsid w:val="00044947"/>
    <w:rsid w:val="000463E4"/>
    <w:rsid w:val="00051B4B"/>
    <w:rsid w:val="00051EBB"/>
    <w:rsid w:val="0005289E"/>
    <w:rsid w:val="00052A16"/>
    <w:rsid w:val="000550BC"/>
    <w:rsid w:val="00057E9B"/>
    <w:rsid w:val="000643FA"/>
    <w:rsid w:val="00070728"/>
    <w:rsid w:val="000730C9"/>
    <w:rsid w:val="0007575F"/>
    <w:rsid w:val="00075B2C"/>
    <w:rsid w:val="00075FD1"/>
    <w:rsid w:val="00077712"/>
    <w:rsid w:val="00082D3A"/>
    <w:rsid w:val="00085800"/>
    <w:rsid w:val="000865E3"/>
    <w:rsid w:val="000917C5"/>
    <w:rsid w:val="00092E30"/>
    <w:rsid w:val="00097DC6"/>
    <w:rsid w:val="000A36A9"/>
    <w:rsid w:val="000B0720"/>
    <w:rsid w:val="000B1B73"/>
    <w:rsid w:val="000B58AF"/>
    <w:rsid w:val="000B6D99"/>
    <w:rsid w:val="000C05C0"/>
    <w:rsid w:val="000C21D0"/>
    <w:rsid w:val="000C57B9"/>
    <w:rsid w:val="000D38DC"/>
    <w:rsid w:val="000E2283"/>
    <w:rsid w:val="000E29D8"/>
    <w:rsid w:val="000F259D"/>
    <w:rsid w:val="000F6CCA"/>
    <w:rsid w:val="0010303E"/>
    <w:rsid w:val="0011327D"/>
    <w:rsid w:val="0011588C"/>
    <w:rsid w:val="00116DA6"/>
    <w:rsid w:val="00124658"/>
    <w:rsid w:val="001279BC"/>
    <w:rsid w:val="00131029"/>
    <w:rsid w:val="00137E15"/>
    <w:rsid w:val="001417A8"/>
    <w:rsid w:val="00145C4F"/>
    <w:rsid w:val="00153793"/>
    <w:rsid w:val="00164A98"/>
    <w:rsid w:val="00172743"/>
    <w:rsid w:val="00175301"/>
    <w:rsid w:val="00182657"/>
    <w:rsid w:val="001A2D03"/>
    <w:rsid w:val="001A5A68"/>
    <w:rsid w:val="001A6212"/>
    <w:rsid w:val="001A75E0"/>
    <w:rsid w:val="001B7305"/>
    <w:rsid w:val="001B731B"/>
    <w:rsid w:val="001C4ACE"/>
    <w:rsid w:val="001C699C"/>
    <w:rsid w:val="001E02F3"/>
    <w:rsid w:val="001E0CE1"/>
    <w:rsid w:val="001E58CC"/>
    <w:rsid w:val="001F02DD"/>
    <w:rsid w:val="001F2A01"/>
    <w:rsid w:val="001F59ED"/>
    <w:rsid w:val="002013B3"/>
    <w:rsid w:val="00201870"/>
    <w:rsid w:val="00211D37"/>
    <w:rsid w:val="00212204"/>
    <w:rsid w:val="0021262A"/>
    <w:rsid w:val="00216763"/>
    <w:rsid w:val="00222269"/>
    <w:rsid w:val="00222811"/>
    <w:rsid w:val="00222D3A"/>
    <w:rsid w:val="00225464"/>
    <w:rsid w:val="00233D70"/>
    <w:rsid w:val="00234AF1"/>
    <w:rsid w:val="00235373"/>
    <w:rsid w:val="00240145"/>
    <w:rsid w:val="00240506"/>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32DC"/>
    <w:rsid w:val="00297225"/>
    <w:rsid w:val="002A005E"/>
    <w:rsid w:val="002A0270"/>
    <w:rsid w:val="002A66E2"/>
    <w:rsid w:val="002B2664"/>
    <w:rsid w:val="002B6E52"/>
    <w:rsid w:val="002C0488"/>
    <w:rsid w:val="002C4097"/>
    <w:rsid w:val="002C594E"/>
    <w:rsid w:val="002D3D42"/>
    <w:rsid w:val="002D479B"/>
    <w:rsid w:val="002D6EC9"/>
    <w:rsid w:val="002D787B"/>
    <w:rsid w:val="002E188B"/>
    <w:rsid w:val="002E65B5"/>
    <w:rsid w:val="002F05F3"/>
    <w:rsid w:val="002F2F26"/>
    <w:rsid w:val="002F4C25"/>
    <w:rsid w:val="003141F5"/>
    <w:rsid w:val="00315DC4"/>
    <w:rsid w:val="00317020"/>
    <w:rsid w:val="00320B4D"/>
    <w:rsid w:val="00326FF6"/>
    <w:rsid w:val="00327A22"/>
    <w:rsid w:val="00332BB8"/>
    <w:rsid w:val="0033513A"/>
    <w:rsid w:val="00342130"/>
    <w:rsid w:val="00346605"/>
    <w:rsid w:val="00347824"/>
    <w:rsid w:val="00351A03"/>
    <w:rsid w:val="0035318F"/>
    <w:rsid w:val="00354C01"/>
    <w:rsid w:val="0036306A"/>
    <w:rsid w:val="00365A78"/>
    <w:rsid w:val="003727DB"/>
    <w:rsid w:val="003822CC"/>
    <w:rsid w:val="00385177"/>
    <w:rsid w:val="00385F27"/>
    <w:rsid w:val="00386642"/>
    <w:rsid w:val="00386CF0"/>
    <w:rsid w:val="00392176"/>
    <w:rsid w:val="003921D6"/>
    <w:rsid w:val="00396F9F"/>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11BB1"/>
    <w:rsid w:val="004131D6"/>
    <w:rsid w:val="00417F07"/>
    <w:rsid w:val="00424124"/>
    <w:rsid w:val="00434212"/>
    <w:rsid w:val="00440F6E"/>
    <w:rsid w:val="00443645"/>
    <w:rsid w:val="00443CD6"/>
    <w:rsid w:val="004552C9"/>
    <w:rsid w:val="0045674C"/>
    <w:rsid w:val="004607AC"/>
    <w:rsid w:val="0046127E"/>
    <w:rsid w:val="00466E46"/>
    <w:rsid w:val="004678E1"/>
    <w:rsid w:val="004709B7"/>
    <w:rsid w:val="00473281"/>
    <w:rsid w:val="00473B68"/>
    <w:rsid w:val="00481A47"/>
    <w:rsid w:val="0048301B"/>
    <w:rsid w:val="00494D73"/>
    <w:rsid w:val="004A5ABE"/>
    <w:rsid w:val="004A6424"/>
    <w:rsid w:val="004A69D0"/>
    <w:rsid w:val="004A6A82"/>
    <w:rsid w:val="004A7002"/>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5007E9"/>
    <w:rsid w:val="00504C05"/>
    <w:rsid w:val="00504E5F"/>
    <w:rsid w:val="005055A6"/>
    <w:rsid w:val="00507060"/>
    <w:rsid w:val="0051179B"/>
    <w:rsid w:val="00512838"/>
    <w:rsid w:val="005131F9"/>
    <w:rsid w:val="0051424F"/>
    <w:rsid w:val="00523623"/>
    <w:rsid w:val="005300F0"/>
    <w:rsid w:val="005363F5"/>
    <w:rsid w:val="00541819"/>
    <w:rsid w:val="0054560C"/>
    <w:rsid w:val="00545FD3"/>
    <w:rsid w:val="0055464C"/>
    <w:rsid w:val="00561A8A"/>
    <w:rsid w:val="0056238B"/>
    <w:rsid w:val="00563B2C"/>
    <w:rsid w:val="00565BDB"/>
    <w:rsid w:val="005666A4"/>
    <w:rsid w:val="0057145F"/>
    <w:rsid w:val="00575859"/>
    <w:rsid w:val="005758E7"/>
    <w:rsid w:val="005778C8"/>
    <w:rsid w:val="0058120D"/>
    <w:rsid w:val="00591190"/>
    <w:rsid w:val="005A18B4"/>
    <w:rsid w:val="005A60B4"/>
    <w:rsid w:val="005B47BD"/>
    <w:rsid w:val="005B66C6"/>
    <w:rsid w:val="005B69C2"/>
    <w:rsid w:val="005B6FA6"/>
    <w:rsid w:val="005D2C51"/>
    <w:rsid w:val="005F21BF"/>
    <w:rsid w:val="005F613D"/>
    <w:rsid w:val="005F705D"/>
    <w:rsid w:val="00600F57"/>
    <w:rsid w:val="00603015"/>
    <w:rsid w:val="0060603E"/>
    <w:rsid w:val="006312AA"/>
    <w:rsid w:val="00632789"/>
    <w:rsid w:val="00633934"/>
    <w:rsid w:val="00634707"/>
    <w:rsid w:val="00636F9E"/>
    <w:rsid w:val="006439F2"/>
    <w:rsid w:val="00644034"/>
    <w:rsid w:val="006477B7"/>
    <w:rsid w:val="00652AC8"/>
    <w:rsid w:val="0065437E"/>
    <w:rsid w:val="00654510"/>
    <w:rsid w:val="00654588"/>
    <w:rsid w:val="0066157D"/>
    <w:rsid w:val="00665936"/>
    <w:rsid w:val="006703A8"/>
    <w:rsid w:val="0067125A"/>
    <w:rsid w:val="00671E30"/>
    <w:rsid w:val="006756FB"/>
    <w:rsid w:val="00677BD0"/>
    <w:rsid w:val="00685B82"/>
    <w:rsid w:val="00685E11"/>
    <w:rsid w:val="0069705B"/>
    <w:rsid w:val="006A04B2"/>
    <w:rsid w:val="006A0EDC"/>
    <w:rsid w:val="006A18DB"/>
    <w:rsid w:val="006A2D2E"/>
    <w:rsid w:val="006B67B9"/>
    <w:rsid w:val="006B7B96"/>
    <w:rsid w:val="006C0BAC"/>
    <w:rsid w:val="006C20F7"/>
    <w:rsid w:val="006C452E"/>
    <w:rsid w:val="006C7692"/>
    <w:rsid w:val="006D2F17"/>
    <w:rsid w:val="006D6ABC"/>
    <w:rsid w:val="006E790B"/>
    <w:rsid w:val="006F055C"/>
    <w:rsid w:val="006F52D9"/>
    <w:rsid w:val="00702C40"/>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404F9"/>
    <w:rsid w:val="00740B36"/>
    <w:rsid w:val="00745452"/>
    <w:rsid w:val="00747A6F"/>
    <w:rsid w:val="0075622F"/>
    <w:rsid w:val="0076067D"/>
    <w:rsid w:val="00782CDC"/>
    <w:rsid w:val="007839F9"/>
    <w:rsid w:val="00784132"/>
    <w:rsid w:val="00786229"/>
    <w:rsid w:val="0078708D"/>
    <w:rsid w:val="00787145"/>
    <w:rsid w:val="00791D57"/>
    <w:rsid w:val="007A2765"/>
    <w:rsid w:val="007A3734"/>
    <w:rsid w:val="007B13E5"/>
    <w:rsid w:val="007B2F6B"/>
    <w:rsid w:val="007B473A"/>
    <w:rsid w:val="007C4B85"/>
    <w:rsid w:val="007D0BB2"/>
    <w:rsid w:val="007D2C48"/>
    <w:rsid w:val="007E52F3"/>
    <w:rsid w:val="007E546F"/>
    <w:rsid w:val="007F0AF3"/>
    <w:rsid w:val="007F1928"/>
    <w:rsid w:val="007F392E"/>
    <w:rsid w:val="00800F70"/>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A6FC8"/>
    <w:rsid w:val="008B39B6"/>
    <w:rsid w:val="008C1AFD"/>
    <w:rsid w:val="008C4B67"/>
    <w:rsid w:val="008D1AEF"/>
    <w:rsid w:val="008E48C2"/>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3E67"/>
    <w:rsid w:val="00997E4E"/>
    <w:rsid w:val="009A4D63"/>
    <w:rsid w:val="009A54FC"/>
    <w:rsid w:val="009B08C5"/>
    <w:rsid w:val="009B52C0"/>
    <w:rsid w:val="009B75E8"/>
    <w:rsid w:val="009C2167"/>
    <w:rsid w:val="009D46C1"/>
    <w:rsid w:val="009E0D02"/>
    <w:rsid w:val="009E4418"/>
    <w:rsid w:val="009E5838"/>
    <w:rsid w:val="009F4EF4"/>
    <w:rsid w:val="009F667C"/>
    <w:rsid w:val="00A0235E"/>
    <w:rsid w:val="00A04526"/>
    <w:rsid w:val="00A074B7"/>
    <w:rsid w:val="00A11704"/>
    <w:rsid w:val="00A11840"/>
    <w:rsid w:val="00A14282"/>
    <w:rsid w:val="00A21D13"/>
    <w:rsid w:val="00A22671"/>
    <w:rsid w:val="00A22C61"/>
    <w:rsid w:val="00A262E4"/>
    <w:rsid w:val="00A26EC3"/>
    <w:rsid w:val="00A300E0"/>
    <w:rsid w:val="00A34F57"/>
    <w:rsid w:val="00A359C7"/>
    <w:rsid w:val="00A41CF3"/>
    <w:rsid w:val="00A456B1"/>
    <w:rsid w:val="00A4674D"/>
    <w:rsid w:val="00A547CE"/>
    <w:rsid w:val="00A55FF3"/>
    <w:rsid w:val="00A603CE"/>
    <w:rsid w:val="00A605F1"/>
    <w:rsid w:val="00A62B28"/>
    <w:rsid w:val="00A64CF7"/>
    <w:rsid w:val="00A72B33"/>
    <w:rsid w:val="00A821EA"/>
    <w:rsid w:val="00A8721E"/>
    <w:rsid w:val="00A92495"/>
    <w:rsid w:val="00AA3BE3"/>
    <w:rsid w:val="00AA5160"/>
    <w:rsid w:val="00AA5899"/>
    <w:rsid w:val="00AB0589"/>
    <w:rsid w:val="00AB723F"/>
    <w:rsid w:val="00AB75A3"/>
    <w:rsid w:val="00AB7FC6"/>
    <w:rsid w:val="00AC05AE"/>
    <w:rsid w:val="00AD115D"/>
    <w:rsid w:val="00AD16AE"/>
    <w:rsid w:val="00AD6C53"/>
    <w:rsid w:val="00AD7BCD"/>
    <w:rsid w:val="00AE72F4"/>
    <w:rsid w:val="00AF0A4B"/>
    <w:rsid w:val="00AF2F00"/>
    <w:rsid w:val="00AF4BBC"/>
    <w:rsid w:val="00AF5875"/>
    <w:rsid w:val="00AF65DE"/>
    <w:rsid w:val="00B029FE"/>
    <w:rsid w:val="00B04278"/>
    <w:rsid w:val="00B12672"/>
    <w:rsid w:val="00B2434D"/>
    <w:rsid w:val="00B24D29"/>
    <w:rsid w:val="00B32216"/>
    <w:rsid w:val="00B34716"/>
    <w:rsid w:val="00B3707E"/>
    <w:rsid w:val="00B40DE1"/>
    <w:rsid w:val="00B55FA2"/>
    <w:rsid w:val="00B61A13"/>
    <w:rsid w:val="00B6232D"/>
    <w:rsid w:val="00B63DB8"/>
    <w:rsid w:val="00B648CA"/>
    <w:rsid w:val="00B6614F"/>
    <w:rsid w:val="00B74894"/>
    <w:rsid w:val="00B749FB"/>
    <w:rsid w:val="00B75FF7"/>
    <w:rsid w:val="00B82B83"/>
    <w:rsid w:val="00B831C8"/>
    <w:rsid w:val="00B909F7"/>
    <w:rsid w:val="00B94DF8"/>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D4C5B"/>
    <w:rsid w:val="00BE26B4"/>
    <w:rsid w:val="00BE27CF"/>
    <w:rsid w:val="00BE3F7A"/>
    <w:rsid w:val="00BF2C5D"/>
    <w:rsid w:val="00BF31E3"/>
    <w:rsid w:val="00BF5F1C"/>
    <w:rsid w:val="00C07731"/>
    <w:rsid w:val="00C17E83"/>
    <w:rsid w:val="00C218A9"/>
    <w:rsid w:val="00C261F4"/>
    <w:rsid w:val="00C408C7"/>
    <w:rsid w:val="00C40BE6"/>
    <w:rsid w:val="00C47EE0"/>
    <w:rsid w:val="00C534CA"/>
    <w:rsid w:val="00C63006"/>
    <w:rsid w:val="00C67568"/>
    <w:rsid w:val="00C7007B"/>
    <w:rsid w:val="00C71871"/>
    <w:rsid w:val="00C724F1"/>
    <w:rsid w:val="00C735F1"/>
    <w:rsid w:val="00C913B6"/>
    <w:rsid w:val="00C91C5E"/>
    <w:rsid w:val="00C92E44"/>
    <w:rsid w:val="00CA6EA3"/>
    <w:rsid w:val="00CB15A7"/>
    <w:rsid w:val="00CB2DE0"/>
    <w:rsid w:val="00CB6D97"/>
    <w:rsid w:val="00CC09CE"/>
    <w:rsid w:val="00CD7B54"/>
    <w:rsid w:val="00CE0C9D"/>
    <w:rsid w:val="00CE1FF5"/>
    <w:rsid w:val="00D10682"/>
    <w:rsid w:val="00D134C5"/>
    <w:rsid w:val="00D23CDC"/>
    <w:rsid w:val="00D26593"/>
    <w:rsid w:val="00D268EB"/>
    <w:rsid w:val="00D26CFF"/>
    <w:rsid w:val="00D274C6"/>
    <w:rsid w:val="00D27AF6"/>
    <w:rsid w:val="00D34984"/>
    <w:rsid w:val="00D353B5"/>
    <w:rsid w:val="00D37270"/>
    <w:rsid w:val="00D446F1"/>
    <w:rsid w:val="00D456D8"/>
    <w:rsid w:val="00D45A0E"/>
    <w:rsid w:val="00D4645D"/>
    <w:rsid w:val="00D4758C"/>
    <w:rsid w:val="00D50169"/>
    <w:rsid w:val="00D5391C"/>
    <w:rsid w:val="00D55FAB"/>
    <w:rsid w:val="00D56786"/>
    <w:rsid w:val="00D61EAB"/>
    <w:rsid w:val="00D624C1"/>
    <w:rsid w:val="00D701D3"/>
    <w:rsid w:val="00D724F9"/>
    <w:rsid w:val="00D7445F"/>
    <w:rsid w:val="00D91E8D"/>
    <w:rsid w:val="00D92B1D"/>
    <w:rsid w:val="00D93FEB"/>
    <w:rsid w:val="00DA5EAC"/>
    <w:rsid w:val="00DB0323"/>
    <w:rsid w:val="00DB1FA7"/>
    <w:rsid w:val="00DB3BFC"/>
    <w:rsid w:val="00DB5143"/>
    <w:rsid w:val="00DC0E31"/>
    <w:rsid w:val="00DC70D0"/>
    <w:rsid w:val="00DC7782"/>
    <w:rsid w:val="00DC7DD6"/>
    <w:rsid w:val="00DD3971"/>
    <w:rsid w:val="00DE2A3F"/>
    <w:rsid w:val="00DF5F45"/>
    <w:rsid w:val="00E03E65"/>
    <w:rsid w:val="00E06B55"/>
    <w:rsid w:val="00E13146"/>
    <w:rsid w:val="00E174FC"/>
    <w:rsid w:val="00E20070"/>
    <w:rsid w:val="00E20994"/>
    <w:rsid w:val="00E22124"/>
    <w:rsid w:val="00E261AD"/>
    <w:rsid w:val="00E324C0"/>
    <w:rsid w:val="00E40344"/>
    <w:rsid w:val="00E4377A"/>
    <w:rsid w:val="00E46D61"/>
    <w:rsid w:val="00E47A4D"/>
    <w:rsid w:val="00E545F2"/>
    <w:rsid w:val="00E56C7E"/>
    <w:rsid w:val="00E576BD"/>
    <w:rsid w:val="00E57BE9"/>
    <w:rsid w:val="00E604D6"/>
    <w:rsid w:val="00E67086"/>
    <w:rsid w:val="00E8001A"/>
    <w:rsid w:val="00E857E4"/>
    <w:rsid w:val="00E85B05"/>
    <w:rsid w:val="00E9139D"/>
    <w:rsid w:val="00E92487"/>
    <w:rsid w:val="00EA26E5"/>
    <w:rsid w:val="00EA3B02"/>
    <w:rsid w:val="00EA5A59"/>
    <w:rsid w:val="00EA6213"/>
    <w:rsid w:val="00EB0C39"/>
    <w:rsid w:val="00EB3301"/>
    <w:rsid w:val="00EB588F"/>
    <w:rsid w:val="00EE2068"/>
    <w:rsid w:val="00EE4A18"/>
    <w:rsid w:val="00EF1F69"/>
    <w:rsid w:val="00EF61D1"/>
    <w:rsid w:val="00F05333"/>
    <w:rsid w:val="00F07624"/>
    <w:rsid w:val="00F1311C"/>
    <w:rsid w:val="00F154D0"/>
    <w:rsid w:val="00F2257A"/>
    <w:rsid w:val="00F246F5"/>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6733"/>
    <w:rsid w:val="00F76A86"/>
    <w:rsid w:val="00F77E12"/>
    <w:rsid w:val="00F814DE"/>
    <w:rsid w:val="00F86EE6"/>
    <w:rsid w:val="00F90045"/>
    <w:rsid w:val="00F925FE"/>
    <w:rsid w:val="00F959A1"/>
    <w:rsid w:val="00FA0472"/>
    <w:rsid w:val="00FA28D1"/>
    <w:rsid w:val="00FA6558"/>
    <w:rsid w:val="00FB2665"/>
    <w:rsid w:val="00FC3DE0"/>
    <w:rsid w:val="00FC61FD"/>
    <w:rsid w:val="00FD09FC"/>
    <w:rsid w:val="00FD2C8C"/>
    <w:rsid w:val="00FD489B"/>
    <w:rsid w:val="00FD530D"/>
    <w:rsid w:val="00FD6F1A"/>
    <w:rsid w:val="00FD791D"/>
    <w:rsid w:val="00FE0217"/>
    <w:rsid w:val="00FE6C15"/>
    <w:rsid w:val="00FF02B6"/>
    <w:rsid w:val="00FF1DFC"/>
    <w:rsid w:val="00FF3CC2"/>
    <w:rsid w:val="00FF6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E4BFD"/>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qFormat/>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6B7B96"/>
    <w:pPr>
      <w:numPr>
        <w:numId w:val="22"/>
      </w:numPr>
      <w:spacing w:after="0"/>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BA496-7620-41A4-8402-3427DD0AE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1273</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8518</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Milap Majmundar (AT&amp;T)</cp:lastModifiedBy>
  <cp:revision>4</cp:revision>
  <cp:lastPrinted>2018-09-28T20:14:00Z</cp:lastPrinted>
  <dcterms:created xsi:type="dcterms:W3CDTF">2021-04-01T17:05:00Z</dcterms:created>
  <dcterms:modified xsi:type="dcterms:W3CDTF">2021-04-01T21:40:00Z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